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43AFCA4C" w14:textId="77777777" w:rsidR="0002538D" w:rsidRPr="0002538D" w:rsidRDefault="0002538D" w:rsidP="0002538D">
      <w:pPr>
        <w:spacing w:after="0" w:line="276" w:lineRule="auto"/>
        <w:rPr>
          <w:rFonts w:ascii="Times New Roman" w:hAnsi="Times New Roman" w:cs="Times New Roman"/>
          <w:b/>
          <w:bCs/>
          <w:caps/>
          <w:sz w:val="28"/>
          <w:szCs w:val="28"/>
        </w:rPr>
      </w:pPr>
      <w:r w:rsidRPr="0002538D">
        <w:rPr>
          <w:rFonts w:ascii="Times New Roman" w:hAnsi="Times New Roman" w:cs="Times New Roman"/>
          <w:b/>
          <w:bCs/>
          <w:caps/>
          <w:sz w:val="28"/>
          <w:szCs w:val="28"/>
        </w:rPr>
        <w:t>A MARCA DO PRECONCEITO: TRÊS AUTORES, TRÊS OBRAS</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0D2CE3CA" w14:textId="77777777" w:rsidR="0002538D" w:rsidRPr="0002538D" w:rsidRDefault="0002538D" w:rsidP="0002538D">
      <w:pPr>
        <w:spacing w:after="0" w:line="240" w:lineRule="auto"/>
        <w:rPr>
          <w:rFonts w:ascii="Times New Roman" w:hAnsi="Times New Roman" w:cs="Times New Roman"/>
          <w:sz w:val="24"/>
          <w:szCs w:val="24"/>
          <w:lang w:val="en-US"/>
        </w:rPr>
      </w:pPr>
      <w:r w:rsidRPr="0002538D">
        <w:rPr>
          <w:rFonts w:ascii="Times New Roman" w:hAnsi="Times New Roman" w:cs="Times New Roman"/>
          <w:sz w:val="24"/>
          <w:szCs w:val="24"/>
          <w:lang w:val="en-US"/>
        </w:rPr>
        <w:t>THE STIMA OF PREJUDICE: THREE AUTHORS, THREE WORKS</w:t>
      </w:r>
    </w:p>
    <w:p w14:paraId="0E2B6F6A" w14:textId="77777777" w:rsidR="0002538D" w:rsidRPr="0002538D" w:rsidRDefault="0002538D" w:rsidP="0002538D">
      <w:pPr>
        <w:spacing w:after="0" w:line="240" w:lineRule="auto"/>
        <w:rPr>
          <w:rFonts w:ascii="Times New Roman" w:hAnsi="Times New Roman" w:cs="Times New Roman"/>
          <w:sz w:val="24"/>
          <w:szCs w:val="24"/>
          <w:lang w:val="en-US"/>
        </w:rPr>
      </w:pPr>
    </w:p>
    <w:p w14:paraId="335DDD5F" w14:textId="77777777" w:rsidR="0002538D" w:rsidRPr="0002538D" w:rsidRDefault="0002538D" w:rsidP="0002538D">
      <w:pPr>
        <w:spacing w:after="0" w:line="240" w:lineRule="auto"/>
        <w:rPr>
          <w:rFonts w:ascii="Times New Roman" w:hAnsi="Times New Roman" w:cs="Times New Roman"/>
          <w:sz w:val="24"/>
          <w:szCs w:val="24"/>
        </w:rPr>
      </w:pPr>
      <w:r w:rsidRPr="0002538D">
        <w:rPr>
          <w:rFonts w:ascii="Times New Roman" w:hAnsi="Times New Roman" w:cs="Times New Roman"/>
          <w:sz w:val="24"/>
          <w:szCs w:val="24"/>
        </w:rPr>
        <w:t>EL ESTIGMA DEL PREJUICIO: TRES AUTORES, TRES OBRAS</w:t>
      </w:r>
    </w:p>
    <w:p w14:paraId="5C293153" w14:textId="77777777" w:rsidR="0017201D" w:rsidRPr="003236A1" w:rsidRDefault="0017201D" w:rsidP="0017201D">
      <w:pPr>
        <w:spacing w:after="0" w:line="240" w:lineRule="auto"/>
        <w:jc w:val="center"/>
        <w:rPr>
          <w:rFonts w:ascii="Times New Roman" w:hAnsi="Times New Roman" w:cs="Times New Roman"/>
          <w:sz w:val="24"/>
          <w:szCs w:val="24"/>
          <w:lang w:val="es-HN"/>
        </w:rPr>
      </w:pPr>
    </w:p>
    <w:p w14:paraId="335631E4" w14:textId="109BC294" w:rsidR="0017201D" w:rsidRDefault="0002538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
          <w:bCs/>
          <w:sz w:val="24"/>
          <w:szCs w:val="20"/>
          <w:lang w:eastAsia="zh-CN" w:bidi="hi-IN"/>
          <w14:ligatures w14:val="none"/>
        </w:rPr>
        <w:t xml:space="preserve">Jacqueline de Cássia Pinheiro </w:t>
      </w:r>
    </w:p>
    <w:p w14:paraId="0CC4D185" w14:textId="67E78912" w:rsidR="0017201D" w:rsidRDefault="0002538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Doutora em Sociologia</w:t>
      </w:r>
    </w:p>
    <w:p w14:paraId="2CDC2A19" w14:textId="1492816F" w:rsidR="0002538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Instituição: </w:t>
      </w:r>
      <w:r w:rsidR="0002538D" w:rsidRPr="0002538D">
        <w:rPr>
          <w:rFonts w:ascii="Times New Roman" w:eastAsia="SimSun" w:hAnsi="Times New Roman" w:cs="Times New Roman"/>
          <w:bCs/>
          <w:sz w:val="24"/>
          <w:szCs w:val="20"/>
          <w:lang w:eastAsia="zh-CN" w:bidi="hi-IN"/>
          <w14:ligatures w14:val="none"/>
        </w:rPr>
        <w:t>Centro Universitário Serra dos Órgãos</w:t>
      </w:r>
      <w:r w:rsidR="0002538D">
        <w:rPr>
          <w:rFonts w:ascii="Times New Roman" w:eastAsia="SimSun" w:hAnsi="Times New Roman" w:cs="Times New Roman"/>
          <w:bCs/>
          <w:sz w:val="24"/>
          <w:szCs w:val="20"/>
          <w:lang w:eastAsia="zh-CN" w:bidi="hi-IN"/>
          <w14:ligatures w14:val="none"/>
        </w:rPr>
        <w:t xml:space="preserve"> (UNIFESO)</w:t>
      </w:r>
    </w:p>
    <w:p w14:paraId="1430975B" w14:textId="1ECE50A6"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w:t>
      </w:r>
      <w:r w:rsidR="0002538D">
        <w:rPr>
          <w:rFonts w:ascii="Times New Roman" w:eastAsia="SimSun" w:hAnsi="Times New Roman" w:cs="Times New Roman"/>
          <w:bCs/>
          <w:sz w:val="24"/>
          <w:szCs w:val="20"/>
          <w:lang w:eastAsia="zh-CN" w:bidi="hi-IN"/>
          <w14:ligatures w14:val="none"/>
        </w:rPr>
        <w:t xml:space="preserve"> Terezópolis, Rio de Janeiro</w:t>
      </w:r>
    </w:p>
    <w:p w14:paraId="272B4B9C" w14:textId="3CEF8090"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sidR="0002538D">
        <w:rPr>
          <w:rFonts w:ascii="Times New Roman" w:eastAsia="SimSun" w:hAnsi="Times New Roman" w:cs="Times New Roman"/>
          <w:bCs/>
          <w:sz w:val="24"/>
          <w:szCs w:val="20"/>
          <w:lang w:eastAsia="zh-CN" w:bidi="hi-IN"/>
          <w14:ligatures w14:val="none"/>
        </w:rPr>
        <w:t>jacapili</w:t>
      </w:r>
      <w:r>
        <w:rPr>
          <w:rFonts w:ascii="Times New Roman" w:eastAsia="SimSun" w:hAnsi="Times New Roman" w:cs="Times New Roman"/>
          <w:bCs/>
          <w:sz w:val="24"/>
          <w:szCs w:val="20"/>
          <w:lang w:eastAsia="zh-CN" w:bidi="hi-IN"/>
          <w14:ligatures w14:val="none"/>
        </w:rPr>
        <w:t>@</w:t>
      </w:r>
      <w:r w:rsidR="0002538D">
        <w:rPr>
          <w:rFonts w:ascii="Times New Roman" w:eastAsia="SimSun" w:hAnsi="Times New Roman" w:cs="Times New Roman"/>
          <w:bCs/>
          <w:sz w:val="24"/>
          <w:szCs w:val="20"/>
          <w:lang w:eastAsia="zh-CN" w:bidi="hi-IN"/>
          <w14:ligatures w14:val="none"/>
        </w:rPr>
        <w:t>gmai</w:t>
      </w:r>
      <w:r>
        <w:rPr>
          <w:rFonts w:ascii="Times New Roman" w:eastAsia="SimSun" w:hAnsi="Times New Roman" w:cs="Times New Roman"/>
          <w:bCs/>
          <w:sz w:val="24"/>
          <w:szCs w:val="20"/>
          <w:lang w:eastAsia="zh-CN" w:bidi="hi-IN"/>
          <w14:ligatures w14:val="none"/>
        </w:rPr>
        <w:t>l.com</w:t>
      </w:r>
    </w:p>
    <w:p w14:paraId="43007970" w14:textId="05A2BBAA"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Orcid: </w:t>
      </w:r>
      <w:r w:rsidR="0002538D" w:rsidRPr="0002538D">
        <w:rPr>
          <w:rFonts w:ascii="Times New Roman" w:eastAsia="SimSun" w:hAnsi="Times New Roman" w:cs="Times New Roman"/>
          <w:sz w:val="24"/>
          <w:szCs w:val="24"/>
          <w:lang w:eastAsia="zh-CN" w:bidi="hi-IN"/>
          <w14:ligatures w14:val="none"/>
        </w:rPr>
        <w:t>0000-0003-0153-8948</w:t>
      </w:r>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07A1FEDC" w14:textId="77777777" w:rsidR="0002538D" w:rsidRPr="0002538D" w:rsidRDefault="0017201D" w:rsidP="000253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Resumo:</w:t>
      </w:r>
      <w:r>
        <w:rPr>
          <w:rFonts w:ascii="Times New Roman" w:eastAsia="Times New Roman" w:hAnsi="Times New Roman" w:cs="Times New Roman"/>
          <w:sz w:val="24"/>
          <w:szCs w:val="24"/>
          <w:lang w:eastAsia="pt-BR"/>
          <w14:ligatures w14:val="none"/>
        </w:rPr>
        <w:t xml:space="preserve"> </w:t>
      </w:r>
      <w:r w:rsidR="0002538D" w:rsidRPr="0002538D">
        <w:rPr>
          <w:rFonts w:ascii="Times New Roman" w:hAnsi="Times New Roman" w:cs="Times New Roman"/>
          <w:sz w:val="24"/>
          <w:szCs w:val="24"/>
        </w:rPr>
        <w:t xml:space="preserve">A persistência da desigualdade estrutural e do racismo no Brasil exige uma análise sociológica que transcenda a mera descrição fenomenológica, buscando as raízes históricas e as metamorfoses conceituais dos mecanismos de exclusão. A formação social brasileira, marcada pela colonização oligárquica e pelo longo regime escravocrata, estabeleceu um modelo de estratificação social complexo, no qual a fluidez aparente do tecido social coexiste com uma rigidez estrutural que teima em marginalizar grandes parcelas da população. Este artigo científico propõe uma resenha crítica e analítica da tríade seminal composta por </w:t>
      </w:r>
      <w:r w:rsidR="0002538D" w:rsidRPr="0002538D">
        <w:rPr>
          <w:rFonts w:ascii="Times New Roman" w:hAnsi="Times New Roman" w:cs="Times New Roman"/>
          <w:i/>
          <w:iCs/>
          <w:sz w:val="24"/>
          <w:szCs w:val="24"/>
        </w:rPr>
        <w:t>Homens Livres na Ordem Escravocrata</w:t>
      </w:r>
      <w:r w:rsidR="0002538D" w:rsidRPr="0002538D">
        <w:rPr>
          <w:rFonts w:ascii="Times New Roman" w:hAnsi="Times New Roman" w:cs="Times New Roman"/>
          <w:sz w:val="24"/>
          <w:szCs w:val="24"/>
        </w:rPr>
        <w:t xml:space="preserve">, de Maria Sylvia de Carvalho Franco; </w:t>
      </w:r>
      <w:r w:rsidR="0002538D" w:rsidRPr="0002538D">
        <w:rPr>
          <w:rFonts w:ascii="Times New Roman" w:hAnsi="Times New Roman" w:cs="Times New Roman"/>
          <w:i/>
          <w:iCs/>
          <w:sz w:val="24"/>
          <w:szCs w:val="24"/>
        </w:rPr>
        <w:t>Preconceito de Marca: as Relações Raciais em Itapetininga</w:t>
      </w:r>
      <w:r w:rsidR="0002538D" w:rsidRPr="0002538D">
        <w:rPr>
          <w:rFonts w:ascii="Times New Roman" w:hAnsi="Times New Roman" w:cs="Times New Roman"/>
          <w:sz w:val="24"/>
          <w:szCs w:val="24"/>
        </w:rPr>
        <w:t xml:space="preserve">, de Oracy Nogueira; e </w:t>
      </w:r>
      <w:r w:rsidR="0002538D" w:rsidRPr="0002538D">
        <w:rPr>
          <w:rFonts w:ascii="Times New Roman" w:hAnsi="Times New Roman" w:cs="Times New Roman"/>
          <w:i/>
          <w:iCs/>
          <w:sz w:val="24"/>
          <w:szCs w:val="24"/>
        </w:rPr>
        <w:t>Estação Carandiru</w:t>
      </w:r>
      <w:r w:rsidR="0002538D" w:rsidRPr="0002538D">
        <w:rPr>
          <w:rFonts w:ascii="Times New Roman" w:hAnsi="Times New Roman" w:cs="Times New Roman"/>
          <w:sz w:val="24"/>
          <w:szCs w:val="24"/>
        </w:rPr>
        <w:t xml:space="preserve">, de Drauzio Varella. Este </w:t>
      </w:r>
      <w:r w:rsidR="0002538D" w:rsidRPr="0002538D">
        <w:rPr>
          <w:rFonts w:ascii="Times New Roman" w:hAnsi="Times New Roman" w:cs="Times New Roman"/>
          <w:i/>
          <w:iCs/>
          <w:sz w:val="24"/>
          <w:szCs w:val="24"/>
        </w:rPr>
        <w:t>corpus</w:t>
      </w:r>
      <w:r w:rsidR="0002538D" w:rsidRPr="0002538D">
        <w:rPr>
          <w:rFonts w:ascii="Times New Roman" w:hAnsi="Times New Roman" w:cs="Times New Roman"/>
          <w:sz w:val="24"/>
          <w:szCs w:val="24"/>
        </w:rPr>
        <w:t xml:space="preserve"> de obras, que abrange temporalmente a fundação das relações de poder no século XIX, a codificação sociológica do racismo pós-abolição e o ápice da exclusão institucionalizada no Brasil contemporâneo, oferece os alicerces para traçar uma genealogia da exclusão. A justaposição destas obras permite demonstrar como a debilidade da formação de uma sociedade de classes plena no século XIX (analisada por Franco) criou o ambiente ideal para a operação flexível, mas perversa, do preconceito de marca (estudado por Nogueira), culminando, séculos mais tarde, na violência sistêmica e no abandono estatal que aprisionam os anônimos duplamente traídos do cárcere (narrado por Varella).</w:t>
      </w:r>
      <w:r w:rsidR="0002538D" w:rsidRPr="0002538D">
        <w:rPr>
          <w:rFonts w:ascii="Times New Roman" w:hAnsi="Times New Roman" w:cs="Times New Roman"/>
          <w:sz w:val="24"/>
          <w:szCs w:val="24"/>
          <w:vertAlign w:val="superscript"/>
        </w:rPr>
        <w:t xml:space="preserve"> </w:t>
      </w:r>
      <w:r w:rsidR="0002538D" w:rsidRPr="0002538D">
        <w:rPr>
          <w:rFonts w:ascii="Times New Roman" w:hAnsi="Times New Roman" w:cs="Times New Roman"/>
          <w:sz w:val="24"/>
          <w:szCs w:val="24"/>
        </w:rPr>
        <w:t>O ponto de partida é a prevalência da Dominação Pessoal, uma lógica que historicamente inibiu a proletarização completa e a formação de uma consciência política, pavimentando o caminho para a perseguição e o estigma.</w:t>
      </w:r>
    </w:p>
    <w:p w14:paraId="7B7B4699" w14:textId="5F006946" w:rsidR="0002538D" w:rsidRPr="0002538D" w:rsidRDefault="0017201D" w:rsidP="0002538D">
      <w:pPr>
        <w:spacing w:after="0" w:line="240" w:lineRule="auto"/>
        <w:jc w:val="both"/>
        <w:rPr>
          <w:rFonts w:ascii="Times New Roman" w:hAnsi="Times New Roman" w:cs="Times New Roman"/>
        </w:rPr>
      </w:pPr>
      <w:r>
        <w:rPr>
          <w:rFonts w:ascii="Times New Roman" w:hAnsi="Times New Roman" w:cs="Times New Roman"/>
          <w:b/>
        </w:rPr>
        <w:t>Palavras-chave:</w:t>
      </w:r>
      <w:r>
        <w:rPr>
          <w:rFonts w:ascii="Times New Roman" w:hAnsi="Times New Roman" w:cs="Times New Roman"/>
        </w:rPr>
        <w:t xml:space="preserve"> </w:t>
      </w:r>
      <w:r w:rsidR="0002538D" w:rsidRPr="0002538D">
        <w:rPr>
          <w:rFonts w:ascii="Times New Roman" w:hAnsi="Times New Roman" w:cs="Times New Roman"/>
        </w:rPr>
        <w:t xml:space="preserve">Homens Livres na Ordem Escravocrata. Preconceito de Marca: as Relações Raciais em Itapetininga. Estação Carandiru. </w:t>
      </w:r>
    </w:p>
    <w:p w14:paraId="2F5AAF39" w14:textId="43505052" w:rsidR="0017201D" w:rsidRDefault="0017201D" w:rsidP="0002538D">
      <w:pPr>
        <w:spacing w:after="0" w:line="240" w:lineRule="auto"/>
        <w:jc w:val="both"/>
      </w:pPr>
      <w:r>
        <w:rPr>
          <w:rFonts w:ascii="Times New Roman" w:hAnsi="Times New Roman" w:cs="Times New Roman"/>
        </w:rPr>
        <w:t>.</w:t>
      </w:r>
    </w:p>
    <w:p w14:paraId="4500DFCB" w14:textId="77777777" w:rsidR="0017201D" w:rsidRDefault="0017201D" w:rsidP="0017201D">
      <w:pPr>
        <w:spacing w:after="0" w:line="240" w:lineRule="auto"/>
        <w:jc w:val="both"/>
        <w:rPr>
          <w:rFonts w:ascii="Times New Roman" w:hAnsi="Times New Roman" w:cs="Times New Roman"/>
          <w:b/>
          <w:bCs/>
          <w:sz w:val="24"/>
          <w:szCs w:val="24"/>
        </w:rPr>
      </w:pPr>
    </w:p>
    <w:p w14:paraId="1A9C2675" w14:textId="2CA38DA9" w:rsidR="0017201D" w:rsidRDefault="0017201D" w:rsidP="0017201D">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Abstract:</w:t>
      </w:r>
      <w:r>
        <w:rPr>
          <w:rFonts w:ascii="Times New Roman" w:eastAsia="Times New Roman" w:hAnsi="Times New Roman" w:cs="Times New Roman"/>
          <w:sz w:val="24"/>
          <w:szCs w:val="24"/>
          <w:lang w:val="en-US" w:eastAsia="pt-BR"/>
          <w14:ligatures w14:val="none"/>
        </w:rPr>
        <w:t xml:space="preserve"> </w:t>
      </w:r>
      <w:r w:rsidR="0002538D" w:rsidRPr="0002538D">
        <w:rPr>
          <w:rFonts w:ascii="Times New Roman" w:hAnsi="Times New Roman" w:cs="Times New Roman"/>
          <w:sz w:val="24"/>
          <w:szCs w:val="24"/>
          <w:lang w:val="en-US"/>
        </w:rPr>
        <w:t xml:space="preserve">The persistence of structural inequality and racism in Brazil demands a sociological analysis that transcends mere phenomenological description, seeking the historical roots and conceptual metamorphoses of exclusion mechanisms. Brazilian social formation, marked by oligarchic colonization and the long slave regime, established a complex model of social stratification, in which the apparent fluidity of the social fabric coexists with a structural rigidity that persists in marginalizing large parts of the population. This scientific article proposes a critical and analytical review of the seminal triad composed of Homens Livres na Ordem Escravocrata by Maria Sylvia de Carvalho Franco; Preconceito de Marca: as Relações Raciais em Itapetininga by Oracy Nogueira; </w:t>
      </w:r>
      <w:r w:rsidR="0002538D" w:rsidRPr="0002538D">
        <w:rPr>
          <w:rFonts w:ascii="Times New Roman" w:hAnsi="Times New Roman" w:cs="Times New Roman"/>
          <w:sz w:val="24"/>
          <w:szCs w:val="24"/>
          <w:lang w:val="en-US"/>
        </w:rPr>
        <w:lastRenderedPageBreak/>
        <w:t>and Estação Carandiru by Drauzio Varella. This corpus of works, which temporally spans the foundation of power relations in the 19th century, the sociological codification of post-abolition racism, and the peak of institutionalized exclusion in contemporary Brazil, provides the foundations for tracing a genealogy of exclusion. The juxtaposition of these works allows us to demonstrate how the fragility in the formation of a full class society in the 19th century (analyzed by Franco) created the ideal environment for the flexible, yet perverse, operation of "marked prejudice" (studied by Nogueira), culminating, centuries later, in the systemic violence and state abandonment that imprisons the doubly betrayed anonymous individuals of the prison system (narrated by Varella). The starting point is the prevalence of Personal Domination, a logic that historically inhibited complete proletarianization and the formation of a political consciousness, paving the way for persecution and stigma.</w:t>
      </w:r>
    </w:p>
    <w:p w14:paraId="737C210E" w14:textId="3BA56D3B" w:rsidR="0017201D" w:rsidRPr="001A58D6" w:rsidRDefault="0017201D" w:rsidP="001A58D6">
      <w:pPr>
        <w:spacing w:line="240" w:lineRule="auto"/>
        <w:jc w:val="both"/>
        <w:rPr>
          <w:rFonts w:ascii="Times New Roman" w:hAnsi="Times New Roman" w:cs="Times New Roman"/>
          <w:sz w:val="24"/>
          <w:szCs w:val="24"/>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1A58D6" w:rsidRPr="001A58D6">
        <w:rPr>
          <w:rFonts w:ascii="Times New Roman" w:hAnsi="Times New Roman" w:cs="Times New Roman"/>
          <w:sz w:val="24"/>
          <w:szCs w:val="24"/>
          <w:lang w:val="en"/>
        </w:rPr>
        <w:t>Free Men in the Slave-Owning Order. Prejudice Based on Brand: Race Relations in Itapetininga. Carandiru Station</w:t>
      </w:r>
      <w:r w:rsidR="0002538D" w:rsidRPr="0002538D">
        <w:rPr>
          <w:rFonts w:ascii="Times New Roman" w:hAnsi="Times New Roman" w:cs="Times New Roman"/>
          <w:sz w:val="24"/>
          <w:szCs w:val="24"/>
        </w:rPr>
        <w:t>.</w:t>
      </w:r>
    </w:p>
    <w:p w14:paraId="7C0D0C05" w14:textId="77777777" w:rsidR="0017201D" w:rsidRDefault="0017201D" w:rsidP="0017201D">
      <w:pPr>
        <w:spacing w:after="0" w:line="360" w:lineRule="auto"/>
        <w:jc w:val="both"/>
        <w:rPr>
          <w:rFonts w:ascii="Times New Roman" w:hAnsi="Times New Roman" w:cs="Times New Roman"/>
          <w:sz w:val="24"/>
          <w:szCs w:val="24"/>
          <w:lang w:val="en-US"/>
        </w:rPr>
      </w:pPr>
    </w:p>
    <w:p w14:paraId="1B93186D" w14:textId="3BF853F4" w:rsidR="0017201D" w:rsidRPr="003236A1" w:rsidRDefault="0017201D" w:rsidP="0017201D">
      <w:pPr>
        <w:spacing w:after="0" w:line="240" w:lineRule="auto"/>
        <w:jc w:val="both"/>
        <w:rPr>
          <w:rFonts w:ascii="Times New Roman" w:hAnsi="Times New Roman" w:cs="Times New Roman"/>
          <w:sz w:val="24"/>
          <w:szCs w:val="24"/>
          <w:lang w:val="es-HN"/>
        </w:rPr>
      </w:pPr>
      <w:r w:rsidRPr="003236A1">
        <w:rPr>
          <w:rFonts w:ascii="Times New Roman" w:hAnsi="Times New Roman" w:cs="Times New Roman"/>
          <w:b/>
          <w:sz w:val="24"/>
          <w:szCs w:val="24"/>
          <w:lang w:val="es-HN"/>
        </w:rPr>
        <w:t>Resumen</w:t>
      </w:r>
      <w:r w:rsidRPr="003236A1">
        <w:rPr>
          <w:rFonts w:ascii="Times New Roman" w:hAnsi="Times New Roman" w:cs="Times New Roman"/>
          <w:sz w:val="24"/>
          <w:szCs w:val="24"/>
          <w:lang w:val="es-HN"/>
        </w:rPr>
        <w:t xml:space="preserve">: </w:t>
      </w:r>
      <w:r w:rsidR="0002538D" w:rsidRPr="0002538D">
        <w:rPr>
          <w:rFonts w:ascii="Times New Roman" w:hAnsi="Times New Roman" w:cs="Times New Roman"/>
          <w:sz w:val="24"/>
          <w:szCs w:val="24"/>
          <w:lang w:val="es-HN"/>
        </w:rPr>
        <w:t>La persistencia de la desigualdad estructural y del racismo en Brasil exige un análisis sociológico que trascienda la mera descripción fenomenológica, buscando las raíces históricas y las metamorfosis conceptuales de los mecanismos de exclusión. La formación social brasileña, marcada por la colonización oligárquica y el largo régimen esclavista, estableció un modelo de estratificación social complejo, en el cual la fluidez aparente del tejido social coexiste con una rigidez estructural que se obstina en marginar a grandes porciones de la población. Este artículo científico propone una reseña crítica y analítica de la tríada seminal compuesta por Homens Livres na Ordem Escravocrata (Hombres Libres en el Orden Esclavista), de Maria Sylvia de Carvalho Franco; Preconceito de Marca: as Relações Raciais em Itapetininga (Prejuicio de Marca: las Relaciones Raciales en Itapetininga), de Oracy Nogueira; y Estação Carandiru (Estación Carandiru), de Drauzio Varella. Este corpus de obras, que abarca temporalmente la fundación de las relaciones de poder en el siglo XIX, la codificación sociológica del racismo posabolición y el apogeo de la exclusión institucionalizada en el Brasil contemporáneo, ofrece los cimientos para trazar una genealogía de la exclusión. La yuxtaposición de estas obras permite demostrar cómo la debilidad en la formación de una sociedad de clases plena en el siglo XIX (analizada por Franco) creó el ambiente ideal para la operación flexible, aunque perversa, del prejuicio de marca (estudiado por Nogueira), culminando, siglos más tarde, en la violencia sistémica y el abandono estatal que aprisionan a los anónimos doblemente traicionados del sistema carcelario (narrado por Varella). El punto de partida es la prevalencia de la Dominación Personal, una lógica que históricamente inhibió la proletarización completa y la formación de una conciencia política, allanando el camino para la persecución y el estigma.</w:t>
      </w:r>
    </w:p>
    <w:p w14:paraId="751CC3C5" w14:textId="77777777" w:rsidR="0017201D" w:rsidRPr="003236A1" w:rsidRDefault="0017201D" w:rsidP="0017201D">
      <w:pPr>
        <w:spacing w:after="0" w:line="240" w:lineRule="auto"/>
        <w:jc w:val="both"/>
        <w:rPr>
          <w:rFonts w:ascii="Times New Roman" w:hAnsi="Times New Roman" w:cs="Times New Roman"/>
          <w:sz w:val="24"/>
          <w:szCs w:val="24"/>
          <w:lang w:val="es-HN"/>
        </w:rPr>
      </w:pPr>
    </w:p>
    <w:p w14:paraId="3DE2B777" w14:textId="77777777" w:rsidR="001A58D6" w:rsidRPr="001A58D6" w:rsidRDefault="0017201D" w:rsidP="001A58D6">
      <w:pPr>
        <w:spacing w:line="240" w:lineRule="auto"/>
        <w:jc w:val="both"/>
        <w:rPr>
          <w:rFonts w:ascii="Times New Roman" w:hAnsi="Times New Roman" w:cs="Times New Roman"/>
          <w:sz w:val="24"/>
          <w:szCs w:val="24"/>
        </w:rPr>
      </w:pPr>
      <w:r w:rsidRPr="003236A1">
        <w:rPr>
          <w:rFonts w:ascii="Times New Roman" w:hAnsi="Times New Roman" w:cs="Times New Roman"/>
          <w:b/>
          <w:sz w:val="24"/>
          <w:szCs w:val="24"/>
          <w:lang w:val="es-HN"/>
        </w:rPr>
        <w:t>Palabras clave</w:t>
      </w:r>
      <w:r w:rsidRPr="003236A1">
        <w:rPr>
          <w:rFonts w:ascii="Times New Roman" w:hAnsi="Times New Roman" w:cs="Times New Roman"/>
          <w:sz w:val="24"/>
          <w:szCs w:val="24"/>
          <w:lang w:val="es-HN"/>
        </w:rPr>
        <w:t xml:space="preserve">: </w:t>
      </w:r>
      <w:r w:rsidR="001A58D6" w:rsidRPr="001A58D6">
        <w:rPr>
          <w:rFonts w:ascii="Times New Roman" w:hAnsi="Times New Roman" w:cs="Times New Roman"/>
          <w:sz w:val="24"/>
          <w:szCs w:val="24"/>
          <w:lang w:val="es-ES"/>
        </w:rPr>
        <w:t>Hombres libres en el régimen esclavista. Prejuicios de marca: Relaciones raciales en Itapetininga. Estación Carandiru.</w:t>
      </w:r>
    </w:p>
    <w:p w14:paraId="72071001" w14:textId="3DA52281" w:rsidR="0017201D" w:rsidRPr="003236A1" w:rsidRDefault="0017201D" w:rsidP="001A58D6">
      <w:pPr>
        <w:spacing w:after="0" w:line="240" w:lineRule="auto"/>
        <w:jc w:val="both"/>
        <w:rPr>
          <w:rFonts w:ascii="Times New Roman" w:hAnsi="Times New Roman" w:cs="Times New Roman"/>
          <w:b/>
          <w:bCs/>
          <w:sz w:val="24"/>
          <w:szCs w:val="24"/>
          <w:lang w:val="es-HN"/>
        </w:rPr>
      </w:pPr>
    </w:p>
    <w:p w14:paraId="7A4DB9D6" w14:textId="77777777" w:rsidR="00E87C00" w:rsidRPr="00E87C00" w:rsidRDefault="00E87C00" w:rsidP="00E87C00">
      <w:pPr>
        <w:spacing w:after="0" w:line="360" w:lineRule="auto"/>
        <w:ind w:left="-567" w:right="-567" w:firstLine="567"/>
        <w:rPr>
          <w:rFonts w:ascii="Times New Roman" w:eastAsia="Times New Roman" w:hAnsi="Times New Roman" w:cs="Times New Roman"/>
          <w:b/>
          <w:bCs/>
          <w:sz w:val="24"/>
          <w:szCs w:val="20"/>
          <w:lang w:eastAsia="pt-BR"/>
          <w14:ligatures w14:val="none"/>
        </w:rPr>
      </w:pPr>
      <w:r w:rsidRPr="00E87C00">
        <w:rPr>
          <w:rFonts w:ascii="Times New Roman" w:eastAsia="Times New Roman" w:hAnsi="Times New Roman" w:cs="Times New Roman"/>
          <w:b/>
          <w:bCs/>
          <w:sz w:val="24"/>
          <w:szCs w:val="20"/>
          <w:lang w:eastAsia="pt-BR"/>
          <w14:ligatures w14:val="none"/>
        </w:rPr>
        <w:t>CONSIDERAÇÕES INICIAIS</w:t>
      </w:r>
    </w:p>
    <w:p w14:paraId="12DF30EB" w14:textId="77777777" w:rsidR="00E87C00" w:rsidRPr="00E87C00" w:rsidRDefault="00E87C00" w:rsidP="00E87C00">
      <w:pPr>
        <w:spacing w:after="0" w:line="360" w:lineRule="auto"/>
        <w:ind w:left="-567" w:right="-567" w:firstLine="567"/>
        <w:jc w:val="both"/>
        <w:rPr>
          <w:rFonts w:ascii="Times New Roman" w:eastAsia="Times New Roman" w:hAnsi="Times New Roman" w:cs="Times New Roman"/>
          <w:sz w:val="24"/>
          <w:szCs w:val="20"/>
          <w:lang w:eastAsia="pt-BR"/>
          <w14:ligatures w14:val="none"/>
        </w:rPr>
      </w:pPr>
    </w:p>
    <w:p w14:paraId="176469A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A discussão sobre o preconceito e o racismo no Brasil atravessa séculos e permanece essencial para compreender a formação da sociedade brasileira e suas contradições estruturais. O presente artigo propõe uma reflexão crítica a partir da leitura </w:t>
      </w:r>
      <w:r w:rsidRPr="00E87C00">
        <w:rPr>
          <w:rFonts w:ascii="Times New Roman" w:eastAsia="Times New Roman" w:hAnsi="Times New Roman" w:cs="Times New Roman"/>
          <w:sz w:val="24"/>
          <w:szCs w:val="24"/>
          <w:lang w:eastAsia="pt-BR"/>
          <w14:ligatures w14:val="none"/>
        </w:rPr>
        <w:lastRenderedPageBreak/>
        <w:t>de três importantes obras que, em diferentes contextos históricos, abordam as manifestações de desigualdade, exclusão e dominação: Homens Livres na Ordem Escravocrata, de Maria Sylvia de Carvalho Franco; Preconceito de Marca: as Relações Raciais em Itapetininga, de Oracy Nogueira; e Estação Carandiru, de Drauzio Varella. Cada uma delas, a seu modo, revela como as relações sociais no Brasil foram (e continuam sendo) atravessadas pela cor, pela posição social e pelas formas de poder que estruturam a vida cotidiana, desde o período escravocrata até os tempos contemporâneos.</w:t>
      </w:r>
    </w:p>
    <w:p w14:paraId="02372EE7"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A partir de distintas abordagens — histórica, sociológica e antropológica —, essas obras permitem observar a persistência de padrões de discriminação e hierarquização social que, mesmo transformados pelas mudanças políticas e econômicas, mantêm-se como herança de um sistema fundado na escravidão e na desigualdade. Assim, o estudo das três obras aqui resenhadas busca compreender não apenas as formas explícitas e implícitas do preconceito e do racismo, mas também os mecanismos de dominação simbólica e material que sustentam a exclusão social. A análise conjunta desses autores contribui para o entendimento do Brasil como um país cuja modernidade sempre conviveu com estruturas arcaicas de poder e subordinação.</w:t>
      </w:r>
    </w:p>
    <w:p w14:paraId="1A0EFC9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p>
    <w:p w14:paraId="4BFD91FD" w14:textId="77777777" w:rsidR="00E87C00" w:rsidRPr="00E87C00" w:rsidRDefault="00E87C00" w:rsidP="00E87C00">
      <w:pPr>
        <w:spacing w:after="0" w:line="360" w:lineRule="auto"/>
        <w:rPr>
          <w:rFonts w:ascii="Times New Roman" w:eastAsia="Times New Roman" w:hAnsi="Times New Roman" w:cs="Times New Roman"/>
          <w:b/>
          <w:bCs/>
          <w:sz w:val="24"/>
          <w:szCs w:val="20"/>
          <w:lang w:eastAsia="pt-BR"/>
          <w14:ligatures w14:val="none"/>
        </w:rPr>
      </w:pPr>
      <w:r w:rsidRPr="00E87C00">
        <w:rPr>
          <w:rFonts w:ascii="Times New Roman" w:eastAsia="Times New Roman" w:hAnsi="Times New Roman" w:cs="Times New Roman"/>
          <w:b/>
          <w:bCs/>
          <w:sz w:val="24"/>
          <w:szCs w:val="20"/>
          <w:lang w:eastAsia="pt-BR"/>
          <w14:ligatures w14:val="none"/>
        </w:rPr>
        <w:t>AS OBRAS</w:t>
      </w:r>
    </w:p>
    <w:p w14:paraId="59D672EC"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p>
    <w:p w14:paraId="1303A3A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obra “</w:t>
      </w:r>
      <w:r w:rsidRPr="00E87C00">
        <w:rPr>
          <w:rFonts w:ascii="Times New Roman" w:eastAsia="Times New Roman" w:hAnsi="Times New Roman" w:cs="Times New Roman"/>
          <w:iCs/>
          <w:sz w:val="24"/>
          <w:szCs w:val="20"/>
          <w:lang w:eastAsia="pt-BR"/>
          <w14:ligatures w14:val="none"/>
        </w:rPr>
        <w:t>Homens Livres na Ordem Escravocrata”</w:t>
      </w:r>
      <w:r w:rsidRPr="00E87C00">
        <w:rPr>
          <w:rFonts w:ascii="Times New Roman" w:eastAsia="Times New Roman" w:hAnsi="Times New Roman" w:cs="Times New Roman"/>
          <w:i/>
          <w:sz w:val="24"/>
          <w:szCs w:val="20"/>
          <w:lang w:eastAsia="pt-BR"/>
          <w14:ligatures w14:val="none"/>
        </w:rPr>
        <w:t xml:space="preserve"> </w:t>
      </w:r>
      <w:r w:rsidRPr="00E87C00">
        <w:rPr>
          <w:rFonts w:ascii="Times New Roman" w:eastAsia="Times New Roman" w:hAnsi="Times New Roman" w:cs="Times New Roman"/>
          <w:iCs/>
          <w:sz w:val="24"/>
          <w:szCs w:val="20"/>
          <w:lang w:eastAsia="pt-BR"/>
          <w14:ligatures w14:val="none"/>
        </w:rPr>
        <w:t>(1997)</w:t>
      </w:r>
      <w:r w:rsidRPr="00E87C00">
        <w:rPr>
          <w:rFonts w:ascii="Times New Roman" w:eastAsia="Times New Roman" w:hAnsi="Times New Roman" w:cs="Times New Roman"/>
          <w:sz w:val="24"/>
          <w:szCs w:val="20"/>
          <w:lang w:eastAsia="pt-BR"/>
          <w14:ligatures w14:val="none"/>
        </w:rPr>
        <w:t xml:space="preserve"> discute a situação da organização dos homens livres na sociedade colonial brasileira, referindo-se à região do café – Vale do Paraíba – , no século XIX. Maria Sylvia de Carvalho Franco faz ver que na sociedade escravista não só se encontram as figuras dos senhores e escravos, mas também de homens livres, que foram de extrema importância para a comercialização da agricultura.</w:t>
      </w:r>
    </w:p>
    <w:p w14:paraId="0DAAD27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Para a autora o escravo aparece nos séculos XV e XVI como uma categoria puramente econômica. Enquanto que o colonizador português se prende à ambição da riqueza e na produção mercantil. Do outro lado dessa produção estavam os homens livres, que segundo a autora, ao mesmo tempo que não conheceram os rigores do trabalho forçado, não se “proletarizaram”.</w:t>
      </w:r>
    </w:p>
    <w:p w14:paraId="6D58853A"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Outros dados importantes que caracterizam a obra de Maria Sylvia são, em primeiro lugar o aparecimento da violência como ingredientes das relações sociais, bem como os traços da organização social articulando as noções de “tradição” e “modernidade”. </w:t>
      </w:r>
    </w:p>
    <w:p w14:paraId="77FC012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Um ponto característico desta obra está nas fontes usadas pela autora, os processos-crimes, que contribuem para seu argumento central. Segundo a autora as relações existentes na sociedade brasileira do século XIX estão marcadas pelos vínculos pessoais  e de poder.</w:t>
      </w:r>
    </w:p>
    <w:p w14:paraId="19C4EB0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Logo de início a autora relata a situação do homem livre e pobre, observando as relações sociais existentes dentro desse próprio grupo. É mostrado com bastante cuidado a relação desses homens com a sua própria comunidade, como a exploração do lugar, a religião, a relação familiar, o trabalho e a solidariedade que nela estão presentes. Ao mesmo tempo, essa relação, que pode ser de ajuda pode se tornar violenta, inclusive levando à morte. Tal violência pode ser caracterizada tanto por um excesso de intimidade (vizinhança, parentesco), como quando num processo de auto-afirmação, sempre ligado ao cotidiano dessas pessoas.</w:t>
      </w:r>
    </w:p>
    <w:p w14:paraId="3279CF8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Neste sentido, ela revela exemplos de experiências desses homens frente às situações por eles encontradas. No que diz respeito à aproximação pelo fator vizinhança a autora observa que a violência se incorporou de uma forma regular que não compromete a mudança nas relações. Essa regularidade dentro do sistema social mais simples, se dá pelas relações de comunhão entre os vizinhos, que acabam aumentando as oportunidades de conflitos entre eles.</w:t>
      </w:r>
    </w:p>
    <w:p w14:paraId="061C23C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Outra situação que a autora coloca são as formas de trabalhos comunitários de cooperação, como mutirões, que se mostram como um outro exemplo em que os laços podem se unir pela solidariedade, bem como tornarem-se tensos, dependendo do desafio que é proposto. Nesses casos, a violência aparece como padrão de comportamento.</w:t>
      </w:r>
    </w:p>
    <w:p w14:paraId="00961F3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 Não tão diferente na relação de trabalho, está o lazer. Segundo Franco, as brincadeiras implementadas numa determinada ocasião, podem virar fortes agressões. O desafio que está sempre presente numa demonstração ou numa brincadeira, se torna um divisor de águas entre a diversão e agressão.</w:t>
      </w:r>
    </w:p>
    <w:p w14:paraId="1A37DC6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Entretanto, as rotineiras agressões no convívio comunitário não se dão somente nas relações em que os conhecidos não possuem o mesmo laço sangüíneo, a família também é um </w:t>
      </w:r>
      <w:r w:rsidRPr="00E87C00">
        <w:rPr>
          <w:rFonts w:ascii="Times New Roman" w:eastAsia="Times New Roman" w:hAnsi="Times New Roman" w:cs="Times New Roman"/>
          <w:i/>
          <w:sz w:val="24"/>
          <w:szCs w:val="20"/>
          <w:lang w:eastAsia="pt-BR"/>
          <w14:ligatures w14:val="none"/>
        </w:rPr>
        <w:t>locus</w:t>
      </w:r>
      <w:r w:rsidRPr="00E87C00">
        <w:rPr>
          <w:rFonts w:ascii="Times New Roman" w:eastAsia="Times New Roman" w:hAnsi="Times New Roman" w:cs="Times New Roman"/>
          <w:sz w:val="24"/>
          <w:szCs w:val="20"/>
          <w:lang w:eastAsia="pt-BR"/>
          <w14:ligatures w14:val="none"/>
        </w:rPr>
        <w:t xml:space="preserve"> onde a violência é incorporada, embora a autora anuncie que nos processos por ela analisados a violência se dê, em sua maioria, entre aparentados (cunhados, sogros e genros). É interessante notarmos como o excesso de intimidade faz com que as relações se tornem sem limites.</w:t>
      </w:r>
    </w:p>
    <w:p w14:paraId="6C0FB622"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Maria Sylvia explica que diferentemente das famílias das camadas consideradas dominantes, os homens pobres não tiveram participação política, não tinham propriedades </w:t>
      </w:r>
      <w:r w:rsidRPr="00E87C00">
        <w:rPr>
          <w:rFonts w:ascii="Times New Roman" w:eastAsia="Times New Roman" w:hAnsi="Times New Roman" w:cs="Times New Roman"/>
          <w:sz w:val="24"/>
          <w:szCs w:val="20"/>
          <w:lang w:eastAsia="pt-BR"/>
          <w14:ligatures w14:val="none"/>
        </w:rPr>
        <w:lastRenderedPageBreak/>
        <w:t>econômicas, por isso sua organização pode ter sido mais restrita. Daí a integração em pequenos grupos, fundados em relações pessoais. Porém, a partir do momento em que o interesse começa a fazer parte destas relações, a autoridade do pai, a obediência do filho, a reciprocidade entre vizinhos, podem ser dissociadas. Mais uma vez a solidariedade social e a violência participam da mesma cena.</w:t>
      </w:r>
    </w:p>
    <w:p w14:paraId="31CB23B6"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Conforme os estudos de Maria Sylvia o que rege estes exemplos dados até então, é a violência. Violência esta não só entendida como padrão de comportamento </w:t>
      </w:r>
      <w:r w:rsidRPr="00E87C00">
        <w:rPr>
          <w:rFonts w:ascii="Times New Roman" w:eastAsia="Times New Roman" w:hAnsi="Times New Roman" w:cs="Times New Roman"/>
          <w:i/>
          <w:sz w:val="24"/>
          <w:szCs w:val="20"/>
          <w:lang w:eastAsia="pt-BR"/>
          <w14:ligatures w14:val="none"/>
        </w:rPr>
        <w:t>per si</w:t>
      </w:r>
      <w:r w:rsidRPr="00E87C00">
        <w:rPr>
          <w:rFonts w:ascii="Times New Roman" w:eastAsia="Times New Roman" w:hAnsi="Times New Roman" w:cs="Times New Roman"/>
          <w:sz w:val="24"/>
          <w:szCs w:val="20"/>
          <w:lang w:eastAsia="pt-BR"/>
          <w14:ligatures w14:val="none"/>
        </w:rPr>
        <w:t>, mas como tendo um valor positivo centrado na coragem pessoal. A valentia tornava-se uma virtude, não importando quais seriam as conseqüências dessa violência. Segundo a autora, as normas já são socialmente estabelecidas, mas as pessoas agem de uma forma semi-automática, na qual o padrão de violência  orienta a conduta e está preso à sociedade de homens pobres/livres, marginalizados do sistema sócio-econômico.</w:t>
      </w:r>
    </w:p>
    <w:p w14:paraId="5925C7D2"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Seguindo sua linha de raciocínio, a autora começa a abordar a participação destes homens dentro da sociedade mais ampla, ou seja, por um lado mostra como se dava a abertura do sistema para esses homens e por outro, o que os barravam, revelando assim o princípio de dominação pessoal.</w:t>
      </w:r>
    </w:p>
    <w:p w14:paraId="196FA0C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É neste sentido que nos é apresentado de maneira muito característica a inserção dos homens livres e pobres na produção e comercialização do café. Que serviços para eles foram direcionados sem que tomassem os papéis de escravos e ao mesmo tempo não competissem com os proprietários? Na tentativa de responder esta questão, a autora revela algumas profissões que estes homens poderiam atuar. A primeira delas, o tropeiro, articulava tecnologia rudimentar e empreendimento mercantil.  Denotando o primeiro exemplo da convivência entre “tradição” e “modernidade”.</w:t>
      </w:r>
    </w:p>
    <w:p w14:paraId="6A78A652"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relação entre o proprietário de terras e os tropeiros tinha uma certa linha de dependência, embora fosse uma ligação sempre renovada e transitória. Segundo a autora, este era um meio de vida itinerante e submetido circunstancialmente a proprietários diferentes. Por outro lado, havia não só a relação entre os tropeiros e os senhores, mas também entre os chefes das caravanas e seus subordinados.</w:t>
      </w:r>
    </w:p>
    <w:p w14:paraId="31918D6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Com a venda de burros e a relação social desenvolvida com homens de mais posses, os tropeiros, pessoas do “mundo primitivo e violento do homem pobre e livre” (p.66), começam a querer passar para o lado dos primeiros. O lucro nos negócios, a educação dos filhos, entre outras características, mostram sua vontade de encarar esse outro mundo e a possibilidade de ascensão social.</w:t>
      </w:r>
    </w:p>
    <w:p w14:paraId="37EB6F2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De outro modo, o mesmo movimento tropeiro fez com que outra ocupação se desse aos homens livres/pobres: as pessoas que trabalhavam com os serviços de pouso e descanso dos mesmos, como o rancheiro, o vendeiro, entre outros. Este último possuía uma característica peculiar. De acordo com a autora, ora se relacionavam com os estratos superiores, ora, pelo contrário, ocorre uma espécie de nivelamento com as camadas mais pobres. Neste sentido, a figura do vendeiro é vista com maus olhos por sua posição indefinida, principalmente pelos senhores que não admitiam suas relações com os escravos. Entretanto, esta sua maleabilidade entre os dois mundos garantiam seu equilíbrio na sociedade.</w:t>
      </w:r>
    </w:p>
    <w:p w14:paraId="5E1516B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 O vendeiro dependia dessa relação com esses dois lados, pois apropriou-se de uma ocupação que se inseria a meio caminho, necessitando de habilidade e malícia para contornar tal situação que revelava mais um exemplo da sociedade brasileira do século XIX estar fincada entre os modelos “arcaico” (subsistência) e “moderno” (setor comercial).</w:t>
      </w:r>
    </w:p>
    <w:p w14:paraId="6A1576F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Sendo assim, ambos, tropeiro e vendeiro, que relacionavam-se com os senhores de terra através da dominação pessoal baseada na troca, seja ela de favores ou de serviços, tinham como principal objetivo, o de enriquecer.</w:t>
      </w:r>
    </w:p>
    <w:p w14:paraId="5481F809"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Outra figura apresentada por Franco é a do sitiante. Este tinha relações estreitas com os fazendeiros e sua família, onde eram quase sempre compadres. As relações assim, ficam mais estreitas e a dominação se dava a partir do princípio de que o apadrinhamento se tornava uma relação de parentesco, em que os direitos e os deveres de um e de outros estavam de alguma maneira estabelecidos. </w:t>
      </w:r>
    </w:p>
    <w:p w14:paraId="19155959"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Se o fazendeiro prestava assistência econômica ao sitiante, este o pagava com sua filiação política. Eram os laços da fidelidade que se apresentavam e faziam com que a relação entre os fazendeiros e seus dependentes tentavam  se tornar mais harmônica. Segundo a autora o que asfixiava a consciência política desses homens pobres eram justamente os efeitos desse tipo de dominação pessoal</w:t>
      </w:r>
      <w:r w:rsidRPr="00E87C00">
        <w:rPr>
          <w:rFonts w:ascii="Times New Roman" w:eastAsia="Times New Roman" w:hAnsi="Times New Roman" w:cs="Times New Roman"/>
          <w:sz w:val="24"/>
          <w:szCs w:val="20"/>
          <w:vertAlign w:val="superscript"/>
          <w:lang w:eastAsia="pt-BR"/>
          <w14:ligatures w14:val="none"/>
        </w:rPr>
        <w:footnoteReference w:id="1"/>
      </w:r>
      <w:r w:rsidRPr="00E87C00">
        <w:rPr>
          <w:rFonts w:ascii="Times New Roman" w:eastAsia="Times New Roman" w:hAnsi="Times New Roman" w:cs="Times New Roman"/>
          <w:sz w:val="24"/>
          <w:szCs w:val="20"/>
          <w:lang w:eastAsia="pt-BR"/>
          <w14:ligatures w14:val="none"/>
        </w:rPr>
        <w:t xml:space="preserve">. </w:t>
      </w:r>
    </w:p>
    <w:p w14:paraId="63116A4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Além do sitiante, a autora também nos apresenta o agregado e o camarada como categorias sociais, que ocupam a terra e expandem a economia comercial, tendo com o proprietário uma relação de cordialidade, condição básica para o acolhimento dos mesmos em suas terras. Sua ação também se estabelecia numa política de retribuição, </w:t>
      </w:r>
      <w:r w:rsidRPr="00E87C00">
        <w:rPr>
          <w:rFonts w:ascii="Times New Roman" w:eastAsia="Times New Roman" w:hAnsi="Times New Roman" w:cs="Times New Roman"/>
          <w:sz w:val="24"/>
          <w:szCs w:val="20"/>
          <w:lang w:eastAsia="pt-BR"/>
          <w14:ligatures w14:val="none"/>
        </w:rPr>
        <w:lastRenderedPageBreak/>
        <w:t>havendo um reconhecimento desses homens como pessoas, ficando mais fácil sua qualificação para uma posterior autonomia.</w:t>
      </w:r>
    </w:p>
    <w:p w14:paraId="2E26C916"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Assim, o mundo do homem pobre segundo a autora, se dividiu entre as associações morais e as ligações de interesses. Ou seja, por mais que o tropeiro, o vendeiro e o sitiante fossem dominados, esta dominação se daria por bases pessoais, demonstrando que seus caminhos foram muitas vezes, o da submissão.</w:t>
      </w:r>
    </w:p>
    <w:p w14:paraId="20FD19A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obra de Maria Sylvia de Carvalho Franco torna-se significativa por também apresentar o sistema de dominação propriamente dito, entendendo o exercício do poder através da autoridade. Ela aproveita para expor como se consolidou o Estado no século XIX para o homem comum. As alterações econômicas com a utilização do Estado de forma indireta foi um impulso para transformar a administração pública num instrumento de dominação. Esta situação, como a desqualificação de funcionários e a política de interesses, fez com que a formação do Estado Moderno como uma administração pública burocrática, não conseguisse se implementar.</w:t>
      </w:r>
    </w:p>
    <w:p w14:paraId="28CEBCA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autora mostra alguns relatos de viajantes que notam na área de São Paulo uma certa pobreza mesmo nas casas grandes, que não se via em outras regiões. Daí a marca da diversificação das condições de vida em cada região. Franco  aponta a passagem em que Rugendas diria que os europeus não acreditariam que os colonos fossem realmente ricos se vissem o interior de suas residências, sua alimentação e suas vestimentas. (p.110)</w:t>
      </w:r>
    </w:p>
    <w:p w14:paraId="1E28B627"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É interessante notar também que havia um processo de estagnação econômica que se prendia a sociedade brasileira como um todo. A discriminação da renda pública associada a um governo centralizador, que se configura a partir de 1840, não fora igualmente distribuída entre as províncias e municípios, havendo uma precariedade das áreas locais, como é exemplo da situação que se encontrava o prédio da própria Câmara. </w:t>
      </w:r>
    </w:p>
    <w:p w14:paraId="1AE0BB5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Deste modo, se tinha muitas vezes o fortalecimento do poder central que se mostrava com uma forte concentração de renda e uma situação muito diferente da que se encontrava nos municípios. Os poderes locais tornaram-se assim mais fracos e com uma administração não muito ligada ao poder central, o que torna diferente a abordagem histórica de Franco da de Rymundo Faoro em sua obra “</w:t>
      </w:r>
      <w:r w:rsidRPr="00E87C00">
        <w:rPr>
          <w:rFonts w:ascii="Times New Roman" w:eastAsia="Times New Roman" w:hAnsi="Times New Roman" w:cs="Times New Roman"/>
          <w:iCs/>
          <w:sz w:val="24"/>
          <w:szCs w:val="20"/>
          <w:lang w:eastAsia="pt-BR"/>
          <w14:ligatures w14:val="none"/>
        </w:rPr>
        <w:t>Os Donos do Poder”</w:t>
      </w:r>
      <w:r w:rsidRPr="00E87C00">
        <w:rPr>
          <w:rFonts w:ascii="Times New Roman" w:eastAsia="Times New Roman" w:hAnsi="Times New Roman" w:cs="Times New Roman"/>
          <w:i/>
          <w:sz w:val="24"/>
          <w:szCs w:val="20"/>
          <w:lang w:eastAsia="pt-BR"/>
          <w14:ligatures w14:val="none"/>
        </w:rPr>
        <w:t xml:space="preserve"> </w:t>
      </w:r>
      <w:r w:rsidRPr="00E87C00">
        <w:rPr>
          <w:rFonts w:ascii="Times New Roman" w:eastAsia="Times New Roman" w:hAnsi="Times New Roman" w:cs="Times New Roman"/>
          <w:iCs/>
          <w:sz w:val="24"/>
          <w:szCs w:val="20"/>
          <w:lang w:eastAsia="pt-BR"/>
          <w14:ligatures w14:val="none"/>
        </w:rPr>
        <w:t>(2000)</w:t>
      </w:r>
      <w:r w:rsidRPr="00E87C00">
        <w:rPr>
          <w:rFonts w:ascii="Times New Roman" w:eastAsia="Times New Roman" w:hAnsi="Times New Roman" w:cs="Times New Roman"/>
          <w:sz w:val="24"/>
          <w:szCs w:val="20"/>
          <w:lang w:eastAsia="pt-BR"/>
          <w14:ligatures w14:val="none"/>
        </w:rPr>
        <w:t>, que estabelece que o sistema social no plano federal abrangia de uma forma igualitária todos os poderes locais, havendo uma centralização deste poder.</w:t>
      </w:r>
    </w:p>
    <w:p w14:paraId="3A7F521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Como a situação do poder local era de extrema pobreza, houve um laço importante da propriedade pública com a privada, já que os meios financeiros dos funcionários públicos como os do cidadão comum, muitas vezes se confundiram e se implementaram </w:t>
      </w:r>
      <w:r w:rsidRPr="00E87C00">
        <w:rPr>
          <w:rFonts w:ascii="Times New Roman" w:eastAsia="Times New Roman" w:hAnsi="Times New Roman" w:cs="Times New Roman"/>
          <w:sz w:val="24"/>
          <w:szCs w:val="20"/>
          <w:lang w:eastAsia="pt-BR"/>
          <w14:ligatures w14:val="none"/>
        </w:rPr>
        <w:lastRenderedPageBreak/>
        <w:t>no Estado. Configurava-se assim, a extensão do controle pessoal ao patrimônio estatal, mais uma vez passando pela idéia das relações através da dominação pessoal.</w:t>
      </w:r>
    </w:p>
    <w:p w14:paraId="417D2E9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Com essa dinâmica entre o público e o privado, faltava ao funcionário público a consciência de seu valor como tal, já que as oportunidades eram exploradas conforme os interesses de cada um. O trabalho ocorria através do improviso, numa situação de amadorismo. Amadorismo esse, que se estabelecia na falta de especialização para a realização do trabalho. Esta falta de qualificação na profissão pública se traduzia na implementação de uma certa malícia com o trato com as pessoas, que dificultava a ação dos trâmites legais e do próprio Direito, que prevalecia como não oficial. A pessoalização nas atividades públicas impedia o caráter disciplinador e funcional. Isto se verifica que no campo da Lei e do Direito também se confundiam a relação pessoal. Por exemplo, algumas pessoas que deveriam ser acusadas, mesmo que confessos, não o eram.</w:t>
      </w:r>
    </w:p>
    <w:p w14:paraId="7A7263AC"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Uma abordagem bastante convincente é a que mostra que a função social está associada às relações pessoais, podendo se pressionar o agente do governo dependendo da influência pessoal que se tivesse. O governo é então também usado como propriedade privada, ligado ao poder da dominação pessoal como um tipo fundamental de relacionamento na sociedade.</w:t>
      </w:r>
    </w:p>
    <w:p w14:paraId="1166BC7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Ainda no fim do século XIX a autora pôde notar a não inclinação por parte dos cidadãos à intervenção estatal na economia, primando-se pela iniciativa privada. Porém, essa situação é paradoxal se observarmos a inércia dos fazendeiros para resolver seus problemas, que acabavam por depender do poder público. Por isso, a atuação do Estado só se torna legítima quando este for encarado como um bem, uma propriedade desse grupo social, estando submetido a ele. Só quando o café consegue um certo desenvolvimento é que o Estado se fará presente numa dimensão mais protecionista.</w:t>
      </w:r>
    </w:p>
    <w:p w14:paraId="2D59DCC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homens do governo faziam o impossível para que tendo o controle do Estado este o beneficiasse quando e o quanto possível. Ou seja, o dilema estava na posição que se encontrava o governo em ser uma fonte de exploração econômica, ao mesmo tempo que não deveria atingir aos senhores de terra.</w:t>
      </w:r>
    </w:p>
    <w:p w14:paraId="6B76ADA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burguesia neste sentido, traduzia uma ação do Estado de forma ambígua: ao mesmo tempo que o afastava, apelava por seu auxílio. Mais uma vez, segundo a autora, se denota a noção da fusão das estruturas “arcaicas” com as “modernas”. Ou seja, o mesmo grupo amador no que diz respeito às suas funções administrativas, aparece dentro do novo aparelho governamental.</w:t>
      </w:r>
    </w:p>
    <w:p w14:paraId="42F1D6A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Havia um forte vínculo entre o funcionalismo público e seus grupos muito mais que seu compromisso com o governo. As formas como este aparelho administrativo se portava tiveram, por vezes, alguns problemas éticos e morais. As atitudes tomadas pela administração orientava-se pelos interesses a que estavam ligados ao governo.</w:t>
      </w:r>
    </w:p>
    <w:p w14:paraId="52C5D5C2"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Porém, nem só do poder burocrático a autora se ocupou, quando se trata das relações entre diferentes grupos. Um outro tipo de relação pessoal fundamentada no poder, que se pôde perceber na investigação da autora, foi a violência, agora não mais encarada na esfera da comunidade, mas a cumplicidade entre o fazendeiro e seu capanga, ou o poder que o primeiro exercia sobre seu escravo. </w:t>
      </w:r>
    </w:p>
    <w:p w14:paraId="0AA659A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A autora apresenta os antepassados dos paulistas, os bandeirantes e seu estilo de vida, mostrando o orgulho desta sociedade de suas origens. Logo depois, ela aborda a negociação nas fazendas. Naquele contexto, ganhar dinheiro era algo que se tornava indispensável e os negócios foram sendo feitos mesmo que de modos não muito lícitos. E nascia nesta época um novo grupo, o dos comissários. </w:t>
      </w:r>
    </w:p>
    <w:p w14:paraId="2ACB38C3"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comissários eram homens que vendiam as mercadorias dos fazendeiros. Segundo a autora, o comissário era uma figura-chave dentro do negócio do café. Ele personificava as ações dos fazendeiros e fazia a comercialização em grande escala. Por outro lado, começa também a não só comercializar o café, mas a financiá-lo.</w:t>
      </w:r>
    </w:p>
    <w:p w14:paraId="514D4E6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Não obstante, a relação entre fazendeiros e comissários também se estabeleceu numa relação pessoal. Os negócios feitos tinham preferência se houvesse uma relação de amizade ou parentesco. As trocas de solidariedade mais uma vez se configuravam até o momento de crise em que essa estrutura seria modificada. </w:t>
      </w:r>
    </w:p>
    <w:p w14:paraId="1DC6B7A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E deste modo, os comissários perpassavam pelos campos do comércio, das finanças e da produção e utilizavam de sua destreza para serem o elo de ligação entre o mercado e os produtores de café, pois é uma época em que o desenvolvimento deste produto coincidia com o crescimento dos Estados Unidos e dos mercados europeus. Mais uma vez o modo “tradicional” (as fazendas brasileiras) ajustava-se à economia “moderna”. </w:t>
      </w:r>
    </w:p>
    <w:p w14:paraId="6B7FD4B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Entretanto, o café brasileiro penetrava no mercado com representação desfavorável e sua cultura se traduziu na sobrecarga do trabalho escravo quando da expansão de seus negócios. Embora essa expansão trouxesse melhorias de vida materialmente. Observa-se assim, a diferença do modo de vida dos diversos setores da sociedade, orientados pela desigualdade entre senhores, homens livres e escravos, por exemplo, na questão da alimentação, do vestuário e dos equipamentos.</w:t>
      </w:r>
    </w:p>
    <w:p w14:paraId="2210248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Podemos assim dizer que o homem livre, principalmente com a abolição da escravatura, não fora completamente expropriado dos meios de produção. Sua saída era tornar-se agregado nas fazendas. O fazendeiro, por sua vez, teve que trazer de fora do país os homens que necessitava para trabalhar: os imigrantes. Lembrando que a sociedade até então era escravista e que seu trabalho mesmo que diversificado, reforçava a afirmação de poder do fazendeiro. Esta diferenciação se deu no trabalho forçado do escravo e o de supervisão dos homens livres. O trabalho que ora era desqualificado, ora era valorizado, estava marcado pela importância da empresa mercantil administrada pelo fazendeiro. A fazenda ia se constituindo como empresa e lar.</w:t>
      </w:r>
    </w:p>
    <w:p w14:paraId="60573EB7"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Para concluir, vemos que através do estudo de Maria Sylvia de Carvalho Franco, o trabalho do homem livre e sua inserção na sociedade brasileira do século XIX, definiu-se por dois processos distintos: o da cooperação e o do conflito. O intermédio entre o escravo e o fazendeiro fez com que o trabalhador livre tivesse uma certa carência, pois mesmo que trabalhasse, não havia um aparato que organizasse suas atividades. Tratava-se de uma empreitada individual.</w:t>
      </w:r>
    </w:p>
    <w:p w14:paraId="0E0DD83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Por outro lado, a figura do proprietário tinha como base fundamental um Estado que estivesse a seu serviço, de acordo com seus interesses, o que paradoxalmente o abria possibilidades, mas o limitava na dominação da esfera econômica. A dominação social deste último frente aos homens livres se fez sem que estes se tornassem como os escravos, mercadoria desses proprietários, o que a autora nos possibilitou entender que houve então, um freio na constituição de uma sociedade de classes.</w:t>
      </w:r>
    </w:p>
    <w:p w14:paraId="442D42E6"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Politicamente, a autora já menciona que não podemos estabelecer um vínculo desta sociedade com uma sociedade estamental, pois além de apresentar o que ela chama de fluidez constante, a atividade do lucro marcou a escala do poder através de prestígios pessoais, ao colocar a situação econômica num primeiro plano. Os meios de obter este prestígio através da riqueza, por sua vez, estavam abertos a quem se prontificasse a enriquecer e portanto, ascender socialmente.</w:t>
      </w:r>
    </w:p>
    <w:p w14:paraId="176C47E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O que marca a obra  </w:t>
      </w:r>
      <w:r w:rsidRPr="00E87C00">
        <w:rPr>
          <w:rFonts w:ascii="Times New Roman" w:eastAsia="Times New Roman" w:hAnsi="Times New Roman" w:cs="Times New Roman"/>
          <w:i/>
          <w:sz w:val="24"/>
          <w:szCs w:val="20"/>
          <w:lang w:eastAsia="pt-BR"/>
          <w14:ligatures w14:val="none"/>
        </w:rPr>
        <w:t>Homens Livres na Sociedade Escravocrata</w:t>
      </w:r>
      <w:r w:rsidRPr="00E87C00">
        <w:rPr>
          <w:rFonts w:ascii="Times New Roman" w:eastAsia="Times New Roman" w:hAnsi="Times New Roman" w:cs="Times New Roman"/>
          <w:sz w:val="24"/>
          <w:szCs w:val="20"/>
          <w:lang w:eastAsia="pt-BR"/>
          <w14:ligatures w14:val="none"/>
        </w:rPr>
        <w:t xml:space="preserve"> é justamente a especificidade que a autora encontrou à época em que escreveu para abordar a sociedade brasileira do século XIX. Usando da idéia de que nesta sociedade o encontro entre o “tradicional” e o “moderno” está muito mais em convivência do que em separação. A autora também abre mão do estudo dos proprietários de terra e escravos como focos principais da relação social existente nesta época. O eixo encontrado para nortear todo seu discurso, isto é, as relações entre pares e o processo de dominação pessoal, torna seu </w:t>
      </w:r>
      <w:r w:rsidRPr="00E87C00">
        <w:rPr>
          <w:rFonts w:ascii="Times New Roman" w:eastAsia="Times New Roman" w:hAnsi="Times New Roman" w:cs="Times New Roman"/>
          <w:sz w:val="24"/>
          <w:szCs w:val="20"/>
          <w:lang w:eastAsia="pt-BR"/>
          <w14:ligatures w14:val="none"/>
        </w:rPr>
        <w:lastRenderedPageBreak/>
        <w:t>livro uma fonte de particular interesse para sociólogos e historiadores que se debruçam sobre o mesmo tema.</w:t>
      </w:r>
    </w:p>
    <w:p w14:paraId="300E197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b/>
        <w:t>Segundo informações de Maria Laura Viveiros de Castro Cavalcanti (MAIO; VILLAS BOAS, 1999), Oracy Nogueira nasceu em São Paulo, no município de Cunha, em 1917, onde veio a falecer aos 79 anos de idade. Trabalhou como repórter, militou de esquerda e isolou-se da família por volta dos 20 anos, para tratamento de saúde.</w:t>
      </w:r>
    </w:p>
    <w:p w14:paraId="27F2DF5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Em conjunto com outros intelectuais de sua geração, fez uma inter-relação entre a sua história e a história das ciências sociais no Brasil. Aos 23 anos entra para a Escola Livre de Sociologia e Política, local em que a importância de se articular os estudos teóricos, com a pesquisa de campo era marca de sua singularidade e influenciará sensivelmente o modo de trabalho de Oracy Nogueira. Lá também, travou contato com professores de expressão acadêmica, como o seu professor e futuro amigo, Donald Pierson. Este contato estabeleceu o interesse de Nogueira pelo </w:t>
      </w:r>
      <w:r w:rsidRPr="00E87C00">
        <w:rPr>
          <w:rFonts w:ascii="Times New Roman" w:eastAsia="Times New Roman" w:hAnsi="Times New Roman" w:cs="Times New Roman"/>
          <w:sz w:val="24"/>
          <w:szCs w:val="20"/>
          <w:u w:val="single"/>
          <w:lang w:eastAsia="pt-BR"/>
          <w14:ligatures w14:val="none"/>
        </w:rPr>
        <w:t>estudo das relações raciais</w:t>
      </w:r>
      <w:r w:rsidRPr="00E87C00">
        <w:rPr>
          <w:rFonts w:ascii="Times New Roman" w:eastAsia="Times New Roman" w:hAnsi="Times New Roman" w:cs="Times New Roman"/>
          <w:sz w:val="24"/>
          <w:szCs w:val="20"/>
          <w:lang w:eastAsia="pt-BR"/>
          <w14:ligatures w14:val="none"/>
        </w:rPr>
        <w:t xml:space="preserve"> e ao mesmo tempo das </w:t>
      </w:r>
      <w:r w:rsidRPr="00E87C00">
        <w:rPr>
          <w:rFonts w:ascii="Times New Roman" w:eastAsia="Times New Roman" w:hAnsi="Times New Roman" w:cs="Times New Roman"/>
          <w:sz w:val="24"/>
          <w:szCs w:val="20"/>
          <w:u w:val="single"/>
          <w:lang w:eastAsia="pt-BR"/>
          <w14:ligatures w14:val="none"/>
        </w:rPr>
        <w:t>distâncias sociais</w:t>
      </w:r>
      <w:r w:rsidRPr="00E87C00">
        <w:rPr>
          <w:rFonts w:ascii="Times New Roman" w:eastAsia="Times New Roman" w:hAnsi="Times New Roman" w:cs="Times New Roman"/>
          <w:sz w:val="24"/>
          <w:szCs w:val="20"/>
          <w:lang w:eastAsia="pt-BR"/>
          <w14:ligatures w14:val="none"/>
        </w:rPr>
        <w:t xml:space="preserve">, bem como, outra especificidade se apresentava ao se interessar pelos </w:t>
      </w:r>
      <w:r w:rsidRPr="00E87C00">
        <w:rPr>
          <w:rFonts w:ascii="Times New Roman" w:eastAsia="Times New Roman" w:hAnsi="Times New Roman" w:cs="Times New Roman"/>
          <w:sz w:val="24"/>
          <w:szCs w:val="20"/>
          <w:u w:val="single"/>
          <w:lang w:eastAsia="pt-BR"/>
          <w14:ligatures w14:val="none"/>
        </w:rPr>
        <w:t>estudos das comunidades</w:t>
      </w:r>
      <w:r w:rsidRPr="00E87C00">
        <w:rPr>
          <w:rFonts w:ascii="Times New Roman" w:eastAsia="Times New Roman" w:hAnsi="Times New Roman" w:cs="Times New Roman"/>
          <w:sz w:val="24"/>
          <w:szCs w:val="20"/>
          <w:lang w:eastAsia="pt-BR"/>
          <w14:ligatures w14:val="none"/>
        </w:rPr>
        <w:t>.</w:t>
      </w:r>
    </w:p>
    <w:p w14:paraId="2B6DE30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Após completar o Mestrado nesta mesma Escola, Oracy Nogueira vai para os Estados Unidos fazer seu Doutorado na Escola de Chicago. Ao retornar, começa a lecionar e dirige a “Revista de Sociologia”. Daí para frente, sua carreira seria a de lecionar em diversos cursos dentro da Universidade de São Paulo, onde se aposentou em 1983.</w:t>
      </w:r>
    </w:p>
    <w:p w14:paraId="31ABF4D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pesquisa feita por Oracy Nogueira na obra “</w:t>
      </w:r>
      <w:r w:rsidRPr="00E87C00">
        <w:rPr>
          <w:rFonts w:ascii="Times New Roman" w:eastAsia="Times New Roman" w:hAnsi="Times New Roman" w:cs="Times New Roman"/>
          <w:iCs/>
          <w:sz w:val="24"/>
          <w:szCs w:val="20"/>
          <w:lang w:eastAsia="pt-BR"/>
          <w14:ligatures w14:val="none"/>
        </w:rPr>
        <w:t>Preconceito de Marca: as Relações Raciais em Itapetininga”</w:t>
      </w:r>
      <w:r w:rsidRPr="00E87C00">
        <w:rPr>
          <w:rFonts w:ascii="Times New Roman" w:eastAsia="Times New Roman" w:hAnsi="Times New Roman" w:cs="Times New Roman"/>
          <w:i/>
          <w:sz w:val="24"/>
          <w:szCs w:val="20"/>
          <w:lang w:eastAsia="pt-BR"/>
          <w14:ligatures w14:val="none"/>
        </w:rPr>
        <w:t xml:space="preserve"> </w:t>
      </w:r>
      <w:r w:rsidRPr="00E87C00">
        <w:rPr>
          <w:rFonts w:ascii="Times New Roman" w:eastAsia="Times New Roman" w:hAnsi="Times New Roman" w:cs="Times New Roman"/>
          <w:iCs/>
          <w:sz w:val="24"/>
          <w:szCs w:val="20"/>
          <w:lang w:eastAsia="pt-BR"/>
          <w14:ligatures w14:val="none"/>
        </w:rPr>
        <w:t>(1954)</w:t>
      </w:r>
      <w:r w:rsidRPr="00E87C00">
        <w:rPr>
          <w:rFonts w:ascii="Times New Roman" w:eastAsia="Times New Roman" w:hAnsi="Times New Roman" w:cs="Times New Roman"/>
          <w:sz w:val="24"/>
          <w:szCs w:val="20"/>
          <w:lang w:eastAsia="pt-BR"/>
          <w14:ligatures w14:val="none"/>
        </w:rPr>
        <w:t>, vem analisar as relações entre brancos e negros no município de Itapetininga, São Paulo, do século XVIII ao XX. A metodologia utilizada pelo autor é bastante interessante por misturar a pesquisa histórica, num primeiro momento, com dados estatísticos e a observação participante, numa segunda etapa. O autor, então, absorve do mesmo tema a teoria com a coleta empírica de dados.</w:t>
      </w:r>
    </w:p>
    <w:p w14:paraId="2CDBA4E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Porém, o estudo do município de Itapetininga não revela um fato isolado no país, mas o representa como um todo, pois, as relações raciais e seus padrões de discriminação através da cor, ou da “marca”, como mostra Nogueira, se dá por todo Brasil. Este país de estrutura oligárquica, que compreende o período por ele estudado, mostra o monopólio de famílias de tradição sobre o poder político das cidades brasileiras. Mesmo que identificadas as diferenças regionais, o “preconceito de marca” era observado em todo o território brasileiro.</w:t>
      </w:r>
    </w:p>
    <w:p w14:paraId="01522DDA"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É neste sentido, que Oracy Nogueira aponta a diferença de tratamento no que diz respeito à discriminação racial no Brasil e nos Estados Unidos, o que torna seu trabalho </w:t>
      </w:r>
      <w:r w:rsidRPr="00E87C00">
        <w:rPr>
          <w:rFonts w:ascii="Times New Roman" w:eastAsia="Times New Roman" w:hAnsi="Times New Roman" w:cs="Times New Roman"/>
          <w:sz w:val="24"/>
          <w:szCs w:val="20"/>
          <w:lang w:eastAsia="pt-BR"/>
          <w14:ligatures w14:val="none"/>
        </w:rPr>
        <w:lastRenderedPageBreak/>
        <w:t>como um todo bastante relevante. Enquanto nos Estados Unidos, ele aparece como de “origem”, isto é, de descendência, aqui, o preconceito era visto como de “marca”, ou seja, de cor, embora a originalidade do pensamento de Oracy Nogueira esteja justamente em mostrar que o “preconceito de marca”, não só a cor está em questão, mas também, a classe social em que o indivíduo se encontra.</w:t>
      </w:r>
    </w:p>
    <w:p w14:paraId="48B5C84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 “relatório” sobre Itapetininga, como o próprio autor o chama (p.21), é parte integrante de um programa de pesquisas sobre relações de raça no Brasil, com patrocínio da UNESCO, no qual Oracy Nogueira fez parte na década de 1950. Tal relatório, divide-se em duas partes. A primeira, baseada em documentos diversos retrata a escravidão e o movimento abolicionista. A segunda, deixando de ter um caráter mais historiográfico e com um perfil mais etnográfico, o autor mostra a Itapetininga dos anos de 1940, com informações coletadas sobre o local, caracterizando o problema do preconceito de raça.</w:t>
      </w:r>
    </w:p>
    <w:p w14:paraId="00D2367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Ao fazer esta parte do estudo em Itapetininga, Nogueira primeiramente observou os censos de 1940 e dali pode concluir que a condição econômica dos indivíduos ou das famílias locais era uma das principais, se não a principal forma de ascensão social. Deste modo, participavam da “classe alta”, pessoas que não dependessem de trabalho manual e nem fossem subordinadas a outrem. São descendentes dos proprietários que em Itapetininga se estabeleceram no século XVIII, em sua maioria comerciantes. Já a “classe média”, segundo o autor, correspondia a pequenos funcionários públicos, professores, pequenos comerciantes, entre outros. E, a “classe baixa”, seriam os que alugavam o próprio trabalho às outras classes.</w:t>
      </w:r>
    </w:p>
    <w:p w14:paraId="1B7F9E1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b/>
        <w:t xml:space="preserve">Na primeira parte da obra, Oracy Nogueira revela que já na fundação da Vila de Itapetininga (século XVIII), havia a divisão entre brancos, que dominavam a região, negros, índios (que até o século XIX sua diminuição fora bastante significativa) e mestiços, sejam estes como escravos, ou homens livres que viviam em precárias condições, como no restante do país. </w:t>
      </w:r>
    </w:p>
    <w:p w14:paraId="09E18B3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Itapetininga era uma região singular. Primeiro, porque foi um local de grande  procura por escravos africanos fugidos de outras localidades. Segundo, em virtude da condição de seus moradores não poderem comprar escravos em muita quantidade, já que seu preço era caro e a necessidade de sua mão-de-obra não poderia ser comparada a cidades maiores, como São Paulo ou Rio de Janeiro. Embora, a lavoura de cana-de-açúcar  crescesse no município, crescia também o número de escravos. E com o tempo, mesmo que seu valor começasse a diminuir e o valor da terra aumentar, o escravo ficou valorizado até o fim da escravidão. Isto é um fato.</w:t>
      </w:r>
    </w:p>
    <w:p w14:paraId="2CA58ED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Segundo o autor, a estrutura social até à abolição da escravatura permaneceu a mesma em Itapetininga: os brancos, como a “classe dominante”, os escravos como subordinados e os homens livres, em sua posição intermediária. Se parte dessa “classe” fosse composta de mulatos livres, notava-se, com o tempo, uma ideologia do “branqueamento” em função da ascensão social.</w:t>
      </w:r>
    </w:p>
    <w:p w14:paraId="66647FA3"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Devido a inúmeras características, Itapetininga foi um local escolhido por diversos escravos para iniciarem vida nova após a fuga de municípios vizinhos. Isto mostra que a ideia de que o escravo era condizente com sua situação, não se constituía uma verdade. O índice de insatisfação de sua condição que geravam as fugas, infidelidade ao senhor, suicídio, entre outras coisas, era grande. Até mesmo os escravos de Itapetininga fugiam dos castigos e das situações em geral a que não se acostumavam. Por sua vez, Nogueira revela que o senhor de escravos ganhava auxílio de muitos na captura dos escravos, inclusive da imprensa local que oferecia, por vezes, recompensas para encontrá-los. O escravo, então, não se deixava levar pelo conformismo e, segundo o autor, sua inquietação tinha grande valor.</w:t>
      </w:r>
    </w:p>
    <w:p w14:paraId="3881900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Oracy Nogueira  mostra que em fins do século XIX os movimentos abolicionista e republicano trazem mudanças significativas na estrutura social. Primeiro, um grupo de profissionais urbanos vindos muitos deles de famílias tradicionais do século XVIII, que economicamente estavam falidos, mas tinham se colocado ao lado de seus parentes mais abastados. Segundo, a renovação do campo, feita por famílias que prosperaram com o cultivo do algodão herbáceo. Porém, as famílias mais conservadoras começam a resistir a tais movimentos, pois seus líderes eram seus parentes mais novos e mais pobres, que caracterizaram uma geração de mudança que nada agradavam a seus antepassados.</w:t>
      </w:r>
    </w:p>
    <w:p w14:paraId="5D7E5B37"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Se, segundo Nogueira, alguns homens brancos vêm a liberdade como direito sagrado, principalmente para os escravos mais velhos, os conservadores não deixavam de resistir ao fim da escravidão. Mas, como a novidade da abolição era realmente algo que mexia com as ideias dos que com ela viviam, até mesmo entre os que com ela concordavam havia uma divisão. O autor aponta que se de um lado havia senhores que apoiavam este movimento, de outro, havia aqueles que tinham medo de que a rápida suspensão da escravidão trouxesse graves problemas aos seus negócios.</w:t>
      </w:r>
    </w:p>
    <w:p w14:paraId="537E398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A polêmica situação do final do século XIX ganhou apoio até na imprensa. Os jornais publicavam as audiências em que os senhores eram chamados a depor, bem como acompanhavam seus resultados finais. Não esquecendo que havia advogados para defender os negros nos tribunais. Por sua vez, Oracy Nogueira informa que cada jornal </w:t>
      </w:r>
      <w:r w:rsidRPr="00E87C00">
        <w:rPr>
          <w:rFonts w:ascii="Times New Roman" w:eastAsia="Times New Roman" w:hAnsi="Times New Roman" w:cs="Times New Roman"/>
          <w:sz w:val="24"/>
          <w:szCs w:val="20"/>
          <w:lang w:eastAsia="pt-BR"/>
          <w14:ligatures w14:val="none"/>
        </w:rPr>
        <w:lastRenderedPageBreak/>
        <w:t xml:space="preserve">pendia para um lado, além dos que ficavam no meio do caminho, apoiando a libertação dos escravos desde que fosse de maneira gradual. O autor transcreve inclusive um trecho do jornal </w:t>
      </w:r>
      <w:r w:rsidRPr="00E87C00">
        <w:rPr>
          <w:rFonts w:ascii="Times New Roman" w:eastAsia="Times New Roman" w:hAnsi="Times New Roman" w:cs="Times New Roman"/>
          <w:i/>
          <w:sz w:val="24"/>
          <w:szCs w:val="20"/>
          <w:lang w:eastAsia="pt-BR"/>
          <w14:ligatures w14:val="none"/>
        </w:rPr>
        <w:t xml:space="preserve">Gazeta de Notícias </w:t>
      </w:r>
      <w:r w:rsidRPr="00E87C00">
        <w:rPr>
          <w:rFonts w:ascii="Times New Roman" w:eastAsia="Times New Roman" w:hAnsi="Times New Roman" w:cs="Times New Roman"/>
          <w:sz w:val="24"/>
          <w:szCs w:val="20"/>
          <w:lang w:eastAsia="pt-BR"/>
          <w14:ligatures w14:val="none"/>
        </w:rPr>
        <w:t>que diz o seguinte: “...só a solução harmônica e simultânea dos dois problemas pode consultar tanto os interesses dos escravos, como os dos proprietários, e principalmente os grandes interesses do país”. (p.103)</w:t>
      </w:r>
    </w:p>
    <w:p w14:paraId="2C72B7A2"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0"/>
          <w:lang w:eastAsia="pt-BR"/>
          <w14:ligatures w14:val="none"/>
        </w:rPr>
        <w:t xml:space="preserve">No entanto, o autor mostra que várias situações já vinham sendo festejadas ao longo do tempo pelos escravos e abolicionistas, como as Leis do Ventre Livre e a do Sexagenário. Porém no dia 13 de maio de 1888 a festa foi maior. Novamente a imprensa cobriu todos os acontecimentos. Falava-se dos festejos dos brancos e os dos próprios ex-escravos que aconteciam de maneira diversas. A abolição mudava assim, toda a estrutura da cidade de Itapetininga, bem como a do país como um todo. Os senhores tiveram que se reorganizar não só com a falta de escravos, mas com a urbanização que crescia. Por outro lado, os escravos estavam livres, porém entregues a um mundo que não estava pronto para recebê-los, ainda mais tendo nos imigrantes </w:t>
      </w:r>
      <w:r w:rsidRPr="00E87C00">
        <w:rPr>
          <w:rFonts w:ascii="Times New Roman" w:eastAsia="Times New Roman" w:hAnsi="Times New Roman" w:cs="Times New Roman"/>
          <w:sz w:val="24"/>
          <w:szCs w:val="24"/>
          <w:lang w:eastAsia="pt-BR"/>
          <w14:ligatures w14:val="none"/>
        </w:rPr>
        <w:t>poderosos adversários na disputa por espaços e oportunidades.</w:t>
      </w:r>
    </w:p>
    <w:p w14:paraId="47FB7A6C"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ab/>
        <w:t xml:space="preserve">Ao passar para a segunda parte da obra, Oracy Nogueira retrata o que chama de “preconceito de marca”, partindo do censo de 1940. O autor detecta que como as conclusões deste censo se dão a partir das respostas dos próprios censitários, a população branca é em disparado maior que a dos mestiços e negros. Daí, vê-se que não só a cor da pele era contabilizada, mas outros benefícios que isso traria à população. </w:t>
      </w:r>
    </w:p>
    <w:p w14:paraId="15946065"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4"/>
          <w:lang w:eastAsia="pt-BR"/>
          <w14:ligatures w14:val="none"/>
        </w:rPr>
        <w:tab/>
        <w:t xml:space="preserve">O </w:t>
      </w:r>
      <w:r w:rsidRPr="00E87C00">
        <w:rPr>
          <w:rFonts w:ascii="Times New Roman" w:eastAsia="Times New Roman" w:hAnsi="Times New Roman" w:cs="Times New Roman"/>
          <w:i/>
          <w:sz w:val="24"/>
          <w:szCs w:val="24"/>
          <w:lang w:eastAsia="pt-BR"/>
          <w14:ligatures w14:val="none"/>
        </w:rPr>
        <w:t>status</w:t>
      </w:r>
      <w:r w:rsidRPr="00E87C00">
        <w:rPr>
          <w:rFonts w:ascii="Times New Roman" w:eastAsia="Times New Roman" w:hAnsi="Times New Roman" w:cs="Times New Roman"/>
          <w:sz w:val="24"/>
          <w:szCs w:val="24"/>
          <w:lang w:eastAsia="pt-BR"/>
          <w14:ligatures w14:val="none"/>
        </w:rPr>
        <w:t xml:space="preserve"> social contava muito na hora de responder ao censo. E é em função </w:t>
      </w:r>
      <w:r w:rsidRPr="00E87C00">
        <w:rPr>
          <w:rFonts w:ascii="Times New Roman" w:eastAsia="Times New Roman" w:hAnsi="Times New Roman" w:cs="Times New Roman"/>
          <w:sz w:val="24"/>
          <w:szCs w:val="20"/>
          <w:lang w:eastAsia="pt-BR"/>
          <w14:ligatures w14:val="none"/>
        </w:rPr>
        <w:t xml:space="preserve">deste </w:t>
      </w:r>
      <w:r w:rsidRPr="00E87C00">
        <w:rPr>
          <w:rFonts w:ascii="Times New Roman" w:eastAsia="Times New Roman" w:hAnsi="Times New Roman" w:cs="Times New Roman"/>
          <w:i/>
          <w:sz w:val="24"/>
          <w:szCs w:val="20"/>
          <w:lang w:eastAsia="pt-BR"/>
          <w14:ligatures w14:val="none"/>
        </w:rPr>
        <w:t>status</w:t>
      </w:r>
      <w:r w:rsidRPr="00E87C00">
        <w:rPr>
          <w:rFonts w:ascii="Times New Roman" w:eastAsia="Times New Roman" w:hAnsi="Times New Roman" w:cs="Times New Roman"/>
          <w:sz w:val="24"/>
          <w:szCs w:val="20"/>
          <w:lang w:eastAsia="pt-BR"/>
          <w14:ligatures w14:val="none"/>
        </w:rPr>
        <w:t xml:space="preserve"> e da aparência dos indivíduos que a estratificação social se dava menos pela cor da pele do que pelo grupo a que o indivíduo pertencia. Esta situação tendeu a se perpetuar, segundo Nogueira, porque a pirâmide social não mudou muito. No topo, a “classe alta”, eram os detentores de poder e riqueza; um pouco menos favorecidos, mas que desta classe se aproximava, era a “classe média”; enquanto que na base da pirâmide estavam os dependentes de trabalho, desfavorecidos de poder e de riqueza, brancos ou negros (a sua maioria).</w:t>
      </w:r>
    </w:p>
    <w:p w14:paraId="7842D06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Em função da economia de Itapetininga estar ligada à pecuária e ao comércio de animais, este não foi um município que atraiu muitos estrangeiros, mas poucos deles vieram e se fixaram na cidade. Alemães, sírios, italianos, chegaram e se colocaram primeiramente na “classe” mais baixa da sociedade. Até que com o tempo, com mais facilidade que os negros, intercambiaram entre as diversas classes sociais. Era mais fácil ver uma família estrangeira ascender socialmente, do que uma família negra. Estes, só </w:t>
      </w:r>
      <w:r w:rsidRPr="00E87C00">
        <w:rPr>
          <w:rFonts w:ascii="Times New Roman" w:eastAsia="Times New Roman" w:hAnsi="Times New Roman" w:cs="Times New Roman"/>
          <w:sz w:val="24"/>
          <w:szCs w:val="20"/>
          <w:lang w:eastAsia="pt-BR"/>
          <w14:ligatures w14:val="none"/>
        </w:rPr>
        <w:lastRenderedPageBreak/>
        <w:t>ascendiam com o casamento com pessoas brancas, ou seja, o que Oracy Nogueira chama de “permeabilidade” social, foi mais fácil para os estrangeiros do que para os negros e pardos.</w:t>
      </w:r>
    </w:p>
    <w:p w14:paraId="3641740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 indivíduo é destacado por sua cor através de traços físicos que as pessoas elegem como os de brancos, negros, pardos, etc. E assim, nos países colonizados pelos europeus, principalmente no Brasil, a “ideologia do branqueamento” é bastante difundida. Oracy Nogueira observa que as pessoas não-brancas são sempre objetos de algum tipo de preconceito racial. Até mesmo aqueles que conseguem galgar à “elite” tem sempre o estigma do preconceito pronto a ser elucidado por uma simples atitude.</w:t>
      </w:r>
    </w:p>
    <w:p w14:paraId="080D195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negros desde o século XIX começaram a se reunir em associações, como clubes e irmandades, como é o caso da Irmandade Nossa Senhora do Rosário e já no século XX, o Clube 13 de Maio, que pode até haver uma “interpenetração social das partes branca e de cor da população local, entre as quais não existe nenhuma linha rígida de cor ou de casta, como a que se nota nos Estados Unidos”. (p.220)</w:t>
      </w:r>
    </w:p>
    <w:p w14:paraId="7993096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Não só pela formação em associações, mas principalmente pela instrução, pela técnica, urbanização, entre outros fatores, que, segundo o autor, em Itapetininga se faz ver que a nova geração de negros que vai se formando até a década de 1940, tem mais consciência de sua legitimidade e não se dão por vencidos, mas procuram sua igualdade de direitos perante aos brancos. Por ser um “preconceito de marca”, os indivíduos lutam a sós dia a dia para livrarem-se dele e ascenderem socialmente.</w:t>
      </w:r>
    </w:p>
    <w:p w14:paraId="18DCC7F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Podemos dizer, então que o estudo de caso no município de Itapetininga por Oracy Nogueira se dá desde a sua fundação nos anos 70 do século XVIII, embora já existisse um arraial no local por volta de 1724, até os anos 40 do século XX. Neste estudo, Nogueira traz uma imensa estatística da população do município no que se refere a sua cor de pele e divisão social.</w:t>
      </w:r>
    </w:p>
    <w:p w14:paraId="68EFA82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Deste modo, o autor identifica que havia em 1940, quando se promoveu um censo populacional, que aumentava o número de brancos, embora ele tenha observado que na verdade seria um aumento do grupo mestiço. Sua conclusão foi que a população de tal município identificou num número grande de mestiços, uma propensão à cor branca. Seria um novo tipo de “branqueamento” da população. Ou seja, a resposta da pessoa ao censo sobre a sua cor correspondia não só à sua pele, mas a uma infinidade de outras características que a classificava como branca, parda, ou negra. Daí, Nogueira estabelecer o preconceito como sendo de “marca”, que divide a discriminação racial com a social.</w:t>
      </w:r>
    </w:p>
    <w:p w14:paraId="4D12586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Este problema se verifica mais exatamente quando se tem o exemplo da situação dos imigrantes. Estes, conseguem ascender socialmente mais fácil do que os negros, pois estes últimos geralmente pertencem a uma estrutura social mais baixa e sua “elevação social” se dá principalmente através de casamentos com brancos, até com a abrangência do ensino no século XX, houve uma certa dificuldade e nem todos tiveram chance de completá-lo.</w:t>
      </w:r>
    </w:p>
    <w:p w14:paraId="53D538E9"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Se for pensada uma ascensão social nestes moldes, por parte dos negros, embora tenha que passar por um reconhecimento de seus pares, ela poderá acontecer. O mesmo ocorre de modo contrário. Não é porque um indivíduo era branco que ele necessariamente garantia a sua ascensão social, donde se conclui que o que realmente importa numa sociedade tradicional e oligárquica como a brasileira, no período estudado por Nogueira, é sua classificação social e, não só racial.</w:t>
      </w:r>
    </w:p>
    <w:p w14:paraId="35F51AE9"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obra “</w:t>
      </w:r>
      <w:r w:rsidRPr="00E87C00">
        <w:rPr>
          <w:rFonts w:ascii="Times New Roman" w:eastAsia="Times New Roman" w:hAnsi="Times New Roman" w:cs="Times New Roman"/>
          <w:iCs/>
          <w:sz w:val="24"/>
          <w:szCs w:val="20"/>
          <w:lang w:eastAsia="pt-BR"/>
          <w14:ligatures w14:val="none"/>
        </w:rPr>
        <w:t>Estação Carandiru”</w:t>
      </w:r>
      <w:r w:rsidRPr="00E87C00">
        <w:rPr>
          <w:rFonts w:ascii="Times New Roman" w:eastAsia="Times New Roman" w:hAnsi="Times New Roman" w:cs="Times New Roman"/>
          <w:i/>
          <w:sz w:val="24"/>
          <w:szCs w:val="20"/>
          <w:lang w:eastAsia="pt-BR"/>
          <w14:ligatures w14:val="none"/>
        </w:rPr>
        <w:t xml:space="preserve"> </w:t>
      </w:r>
      <w:r w:rsidRPr="00E87C00">
        <w:rPr>
          <w:rFonts w:ascii="Times New Roman" w:eastAsia="Times New Roman" w:hAnsi="Times New Roman" w:cs="Times New Roman"/>
          <w:iCs/>
          <w:sz w:val="24"/>
          <w:szCs w:val="20"/>
          <w:lang w:eastAsia="pt-BR"/>
          <w14:ligatures w14:val="none"/>
        </w:rPr>
        <w:t>(1999)</w:t>
      </w:r>
      <w:r w:rsidRPr="00E87C00">
        <w:rPr>
          <w:rFonts w:ascii="Times New Roman" w:eastAsia="Times New Roman" w:hAnsi="Times New Roman" w:cs="Times New Roman"/>
          <w:sz w:val="24"/>
          <w:szCs w:val="20"/>
          <w:lang w:eastAsia="pt-BR"/>
          <w14:ligatures w14:val="none"/>
        </w:rPr>
        <w:t xml:space="preserve"> do médico cancerologista </w:t>
      </w:r>
      <w:r w:rsidRPr="00E87C00">
        <w:rPr>
          <w:rFonts w:ascii="Times New Roman" w:eastAsia="Times New Roman" w:hAnsi="Times New Roman" w:cs="Times New Roman"/>
          <w:vanish/>
          <w:sz w:val="24"/>
          <w:szCs w:val="20"/>
          <w:lang w:eastAsia="pt-BR"/>
          <w14:ligatures w14:val="none"/>
        </w:rPr>
        <w:t>&lt;span lang="PT-BR" style="mso-bidi-font-size: 10.0pt"&gt;</w:t>
      </w:r>
      <w:r w:rsidRPr="00E87C00">
        <w:rPr>
          <w:rFonts w:ascii="Times New Roman" w:eastAsia="Times New Roman" w:hAnsi="Times New Roman" w:cs="Times New Roman"/>
          <w:sz w:val="24"/>
          <w:szCs w:val="20"/>
          <w:lang w:eastAsia="pt-BR"/>
          <w14:ligatures w14:val="none"/>
        </w:rPr>
        <w:t>Drauzio Varella escrita em 1999, tem início através de um trabalho voluntário de prevenção à AIDS que começou a fazer em 1989 na Casa de Detenção de São Paulo</w:t>
      </w:r>
      <w:r w:rsidRPr="00E87C00">
        <w:rPr>
          <w:rFonts w:ascii="Times New Roman" w:eastAsia="Times New Roman" w:hAnsi="Times New Roman" w:cs="Times New Roman"/>
          <w:sz w:val="24"/>
          <w:szCs w:val="20"/>
          <w:vertAlign w:val="superscript"/>
          <w:lang w:eastAsia="pt-BR"/>
          <w14:ligatures w14:val="none"/>
        </w:rPr>
        <w:footnoteReference w:id="2"/>
      </w:r>
      <w:r w:rsidRPr="00E87C00">
        <w:rPr>
          <w:rFonts w:ascii="Times New Roman" w:eastAsia="Times New Roman" w:hAnsi="Times New Roman" w:cs="Times New Roman"/>
          <w:sz w:val="24"/>
          <w:szCs w:val="20"/>
          <w:lang w:eastAsia="pt-BR"/>
          <w14:ligatures w14:val="none"/>
        </w:rPr>
        <w:t xml:space="preserve">, no bairro do Carandiru. </w:t>
      </w:r>
      <w:r w:rsidRPr="00E87C00">
        <w:rPr>
          <w:rFonts w:ascii="Times New Roman" w:eastAsia="Times New Roman" w:hAnsi="Times New Roman" w:cs="Times New Roman"/>
          <w:vanish/>
          <w:sz w:val="24"/>
          <w:szCs w:val="20"/>
          <w:lang w:eastAsia="pt-BR"/>
          <w14:ligatures w14:val="none"/>
        </w:rPr>
        <w:t>&lt;/span&gt;</w:t>
      </w:r>
    </w:p>
    <w:p w14:paraId="1716357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vanish/>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ab/>
        <w:t>O autor fala de suas experiências com presos e funcionários</w:t>
      </w:r>
      <w:r w:rsidRPr="00E87C00">
        <w:rPr>
          <w:rFonts w:ascii="Times New Roman" w:eastAsia="Times New Roman" w:hAnsi="Times New Roman" w:cs="Times New Roman"/>
          <w:sz w:val="24"/>
          <w:szCs w:val="20"/>
          <w:vertAlign w:val="superscript"/>
          <w:lang w:eastAsia="pt-BR"/>
          <w14:ligatures w14:val="none"/>
        </w:rPr>
        <w:footnoteReference w:id="3"/>
      </w:r>
      <w:r w:rsidRPr="00E87C00">
        <w:rPr>
          <w:rFonts w:ascii="Times New Roman" w:eastAsia="Times New Roman" w:hAnsi="Times New Roman" w:cs="Times New Roman"/>
          <w:sz w:val="24"/>
          <w:szCs w:val="20"/>
          <w:lang w:eastAsia="pt-BR"/>
          <w14:ligatures w14:val="none"/>
        </w:rPr>
        <w:t xml:space="preserve"> do complexo, abordando de forma bastante envolvente o relacionamento pessoal que teve com eles, bem como as relações que mantinham entre si. Mesmo que as condições não fossem próprias para conseguir relatos individuais e tendo, muitas vezes que trocar fatos e nomes, o médico conseguiu conjugar emoção e razão nos depoimentos dados que se transformaram na presente </w:t>
      </w:r>
      <w:r w:rsidRPr="00E87C00">
        <w:rPr>
          <w:rFonts w:ascii="Times New Roman" w:eastAsia="Times New Roman" w:hAnsi="Times New Roman" w:cs="Times New Roman"/>
          <w:vanish/>
          <w:sz w:val="24"/>
          <w:szCs w:val="20"/>
          <w:lang w:eastAsia="pt-BR"/>
          <w14:ligatures w14:val="none"/>
        </w:rPr>
        <w:t>&lt;/span&gt;&lt;span lang="PT-BR" style="mso-bidi-font-size: 10.0pt"&gt;&lt;span style="mso-spacerun: yes"&gt;&lt;/span&gt;&lt;span lang="PT-BR" style="mso-bidi-font-size: 10.0pt"&gt;&lt;/span&gt;</w:t>
      </w:r>
      <w:r w:rsidRPr="00E87C00">
        <w:rPr>
          <w:rFonts w:ascii="Times New Roman" w:eastAsia="Times New Roman" w:hAnsi="Times New Roman" w:cs="Times New Roman"/>
          <w:sz w:val="24"/>
          <w:szCs w:val="20"/>
          <w:lang w:eastAsia="pt-BR"/>
          <w14:ligatures w14:val="none"/>
        </w:rPr>
        <w:t>obra.</w:t>
      </w:r>
    </w:p>
    <w:p w14:paraId="4A0CC687"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vanish/>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ab/>
        <w:t xml:space="preserve">Longe de ser um trabalho puramente biológico, Varella através de um estudo sócioantropológico consegue abordar temas tão polêmicos, que não são somente vividos dentro de um presídio, mas que se manifestam como um reflexo da sociedade como um todo. </w:t>
      </w:r>
      <w:r w:rsidRPr="00E87C00">
        <w:rPr>
          <w:rFonts w:ascii="Times New Roman" w:eastAsia="Times New Roman" w:hAnsi="Times New Roman" w:cs="Times New Roman"/>
          <w:vanish/>
          <w:sz w:val="24"/>
          <w:szCs w:val="20"/>
          <w:lang w:eastAsia="pt-BR"/>
          <w14:ligatures w14:val="none"/>
        </w:rPr>
        <w:t>&lt;/span&gt;&lt;span lang="PT-BR" style="mso-bidi-font-size: 10.0pt"&gt;</w:t>
      </w:r>
      <w:r w:rsidRPr="00E87C00">
        <w:rPr>
          <w:rFonts w:ascii="Times New Roman" w:eastAsia="Times New Roman" w:hAnsi="Times New Roman" w:cs="Times New Roman"/>
          <w:sz w:val="24"/>
          <w:szCs w:val="20"/>
          <w:lang w:eastAsia="pt-BR"/>
          <w14:ligatures w14:val="none"/>
        </w:rPr>
        <w:t>Embora sua proposta inicial fosse apenas gravar um vídeo na penitenciária paulista e depois fazer um trabalho voluntário de prevenção à AIDS, logo após conhecer os presos e suas dinâmicas de sobrevivência, ganhou confiança o suficiente para andar livremente, ouvir histórias e fazer amizades, que garante ter sido de difícil acesso se não fosse médico.</w:t>
      </w:r>
    </w:p>
    <w:p w14:paraId="672915C3"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A profissão médica trouxe, segundo Varella, benefícios para o seu contato com os detentos, assim como fez com que realmente reconhecesse a importância dela para a </w:t>
      </w:r>
      <w:r w:rsidRPr="00E87C00">
        <w:rPr>
          <w:rFonts w:ascii="Times New Roman" w:eastAsia="Times New Roman" w:hAnsi="Times New Roman" w:cs="Times New Roman"/>
          <w:sz w:val="24"/>
          <w:szCs w:val="20"/>
          <w:lang w:eastAsia="pt-BR"/>
          <w14:ligatures w14:val="none"/>
        </w:rPr>
        <w:lastRenderedPageBreak/>
        <w:t>sociedade, mas, principalmente para aqueles homens que viam nele não somente um clínico, mas um confidente, que escutava os assuntos mais íntimos, que tocava naqueles corpos, que jamais poderiam ser tocados se não fosse por seus familiares. Paciência e escuta auxiliavam e aliviavam os presos.</w:t>
      </w:r>
    </w:p>
    <w:p w14:paraId="2E34C92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detentos não gostam a pessoas de fora, repórteres, pessoal envolvidos com os direitos humanos, que para eles só servem quando querem denunciar algo a seu favor. O problema da superpopulação do sistema penitenciário é um dos temas, em que o preso quer uma solução. Quando chega alguém transferido sofre não só com as acomodações que são mais do que precárias, mas com a reação dos presos que já estão na cela.</w:t>
      </w:r>
    </w:p>
    <w:p w14:paraId="3A16E6C4"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Por outro lado, sua inserção no presídio fez Varella sentir algumas vezes na pele como os presos eram tratados. Ou seja, um problema que era somente deles, mas que por instantes, se tornaram do médico. Uma vez, quando não foi reconhecido por um dos porteiros e teve que chamar outra pessoa para reconhecê-lo, pois senão não poderia sair; outra, pela sensação de medo, ao se sentar próximo aos ladrões nas primeiras vezes em que foi passar o vídeo de prevenção à AIDS e, uma terceira vez, ao presenciar um pequeno levante dos presos. </w:t>
      </w:r>
    </w:p>
    <w:p w14:paraId="1B9FCD1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O trabalho do Dr. Drauzio Varella constatou que muitos presos estavam infectados </w:t>
      </w:r>
      <w:r w:rsidRPr="00E87C00">
        <w:rPr>
          <w:rFonts w:ascii="Times New Roman" w:eastAsia="Times New Roman" w:hAnsi="Times New Roman" w:cs="Times New Roman"/>
          <w:vanish/>
          <w:color w:val="FF0000"/>
          <w:sz w:val="24"/>
          <w:szCs w:val="20"/>
          <w:lang w:eastAsia="pt-BR"/>
          <w14:ligatures w14:val="none"/>
        </w:rPr>
        <w:t>&lt;/span&gt;&lt;span lang="PT-BR" style="mso-bidi-font-size: 10.0pt"&gt;constatouc</w:t>
      </w:r>
      <w:r w:rsidRPr="00E87C00">
        <w:rPr>
          <w:rFonts w:ascii="Times New Roman" w:eastAsia="Times New Roman" w:hAnsi="Times New Roman" w:cs="Times New Roman"/>
          <w:sz w:val="24"/>
          <w:szCs w:val="20"/>
          <w:lang w:eastAsia="pt-BR"/>
          <w14:ligatures w14:val="none"/>
        </w:rPr>
        <w:t xml:space="preserve">pelo vírus HIV, seja por relações sexuais ou pelo uso de drogas injetáveis. Deste modo, organizou palestras e campanhas de esclarecimento e prevenção, o que auxiliou a diminuir o número de seringas, mas não as drogas, pois a cocaína foi substituída em grande escala pelo cachimbo do crack. Além disso, atendia outras doenças, com pena da situação em que os detentos se encontravam e por não haver nenhum tipo de exame por parte de outros médicos. Como diz Drauzio Varella, muitas vezes fez papel de ingênuo e receitou vitaminas e até </w:t>
      </w:r>
      <w:r w:rsidRPr="00E87C00">
        <w:rPr>
          <w:rFonts w:ascii="Times New Roman" w:eastAsia="Times New Roman" w:hAnsi="Times New Roman" w:cs="Times New Roman"/>
          <w:i/>
          <w:sz w:val="24"/>
          <w:szCs w:val="20"/>
          <w:lang w:eastAsia="pt-BR"/>
          <w14:ligatures w14:val="none"/>
        </w:rPr>
        <w:t>Biotônico Fontoura</w:t>
      </w:r>
      <w:r w:rsidRPr="00E87C00">
        <w:rPr>
          <w:rFonts w:ascii="Times New Roman" w:eastAsia="Times New Roman" w:hAnsi="Times New Roman" w:cs="Times New Roman"/>
          <w:sz w:val="24"/>
          <w:szCs w:val="20"/>
          <w:lang w:eastAsia="pt-BR"/>
          <w14:ligatures w14:val="none"/>
        </w:rPr>
        <w:t>, que ao invés de ajudá-los nas doenças, serviam, respectivamente, para ser vendido e se transformar numa bebida perigosa, a chamada “Maria Louca”.</w:t>
      </w:r>
    </w:p>
    <w:p w14:paraId="5C8C9831"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vanish/>
          <w:color w:val="FF0000"/>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ab/>
      </w:r>
      <w:r w:rsidRPr="00E87C00">
        <w:rPr>
          <w:rFonts w:ascii="Times New Roman" w:eastAsia="Times New Roman" w:hAnsi="Times New Roman" w:cs="Times New Roman"/>
          <w:vanish/>
          <w:color w:val="FF0000"/>
          <w:sz w:val="24"/>
          <w:szCs w:val="20"/>
          <w:lang w:eastAsia="pt-BR"/>
          <w14:ligatures w14:val="none"/>
        </w:rPr>
        <w:t>&lt;/span&gt;&lt;span lang="PT-BR" style="mso-bidi-font-size: 10.0pt"&gt;</w:t>
      </w:r>
      <w:r w:rsidRPr="00E87C00">
        <w:rPr>
          <w:rFonts w:ascii="Times New Roman" w:eastAsia="Times New Roman" w:hAnsi="Times New Roman" w:cs="Times New Roman"/>
          <w:sz w:val="24"/>
          <w:szCs w:val="20"/>
          <w:lang w:eastAsia="pt-BR"/>
          <w14:ligatures w14:val="none"/>
        </w:rPr>
        <w:t xml:space="preserve">Assim sendo, Drauzio Varella mostra que entre os presidiários há normas, que transformam-se numa ética e moral específicas, que criam regras de comportamento distintas, mas que tendem preservar a integridade do grupo. Aí temos um paradoxo. Com as histórias contadas pelo autor, observamos que há um mundo de leis próprias do presídio, que se não respeitadas são levadas a castigos e até à morte, na qual os próprios presos são os juízes. Dentre os exemplos estão: não delatar o companheiro, respeitar os deficientes físicos, respeitar a mulher alheia. Por outro lado, as condições muitas vezes relatadas por Varella mostram uma aproximação da sociedade fora do presídio. Dentre </w:t>
      </w:r>
      <w:r w:rsidRPr="00E87C00">
        <w:rPr>
          <w:rFonts w:ascii="Times New Roman" w:eastAsia="Times New Roman" w:hAnsi="Times New Roman" w:cs="Times New Roman"/>
          <w:sz w:val="24"/>
          <w:szCs w:val="20"/>
          <w:lang w:eastAsia="pt-BR"/>
          <w14:ligatures w14:val="none"/>
        </w:rPr>
        <w:lastRenderedPageBreak/>
        <w:t>elas observamos as condições de trabalho, o tratamento especial aos presos mais velhos, como se dá em uma empresa com os funcionários mais antigos.</w:t>
      </w:r>
      <w:r w:rsidRPr="00E87C00">
        <w:rPr>
          <w:rFonts w:ascii="Times New Roman" w:eastAsia="Times New Roman" w:hAnsi="Times New Roman" w:cs="Times New Roman"/>
          <w:vanish/>
          <w:sz w:val="24"/>
          <w:szCs w:val="20"/>
          <w:lang w:eastAsia="pt-BR"/>
          <w14:ligatures w14:val="none"/>
        </w:rPr>
        <w:t>&lt;/span&gt;</w:t>
      </w:r>
    </w:p>
    <w:p w14:paraId="18B774A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códigos e normas são severos. Seja de uma forma geral ou entre os grupos de homossexuais, crentes, faxinas, entre outros. Cada um sabe onde está seu limite e até onde podem ir. Às vezes não é nem necessário palavras. Gestos e olhares falam por si.</w:t>
      </w:r>
    </w:p>
    <w:p w14:paraId="5103173D"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Muitos dos detentos têm habilidades e inteligência mesmo sem instrução. Isso foi notado ao fazerem um concurso de cartazes para o combate à AIDS. O preso que ganhou, não tinha instrução, mas uma sensibilidade assaz que tornou sua manifestação uma das melhores propagandas sobre prevenção à doença, segundo Varella</w:t>
      </w:r>
      <w:r w:rsidRPr="00E87C00">
        <w:rPr>
          <w:rFonts w:ascii="Times New Roman" w:eastAsia="Times New Roman" w:hAnsi="Times New Roman" w:cs="Times New Roman"/>
          <w:sz w:val="24"/>
          <w:szCs w:val="20"/>
          <w:vertAlign w:val="superscript"/>
          <w:lang w:eastAsia="pt-BR"/>
          <w14:ligatures w14:val="none"/>
        </w:rPr>
        <w:footnoteReference w:id="4"/>
      </w:r>
      <w:r w:rsidRPr="00E87C00">
        <w:rPr>
          <w:rFonts w:ascii="Times New Roman" w:eastAsia="Times New Roman" w:hAnsi="Times New Roman" w:cs="Times New Roman"/>
          <w:sz w:val="24"/>
          <w:szCs w:val="20"/>
          <w:lang w:eastAsia="pt-BR"/>
          <w14:ligatures w14:val="none"/>
        </w:rPr>
        <w:t>.</w:t>
      </w:r>
    </w:p>
    <w:p w14:paraId="7E9F609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vanish/>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 xml:space="preserve">A </w:t>
      </w:r>
      <w:r w:rsidRPr="00E87C00">
        <w:rPr>
          <w:rFonts w:ascii="Times New Roman" w:eastAsia="Times New Roman" w:hAnsi="Times New Roman" w:cs="Times New Roman"/>
          <w:vanish/>
          <w:sz w:val="24"/>
          <w:szCs w:val="20"/>
          <w:lang w:eastAsia="pt-BR"/>
          <w14:ligatures w14:val="none"/>
        </w:rPr>
        <w:t>&lt;/span&gt;&lt;span lang="PT-BR" style="mso-bidi-font-size: 10.0pt"&gt;</w:t>
      </w:r>
      <w:r w:rsidRPr="00E87C00">
        <w:rPr>
          <w:rFonts w:ascii="Times New Roman" w:eastAsia="Times New Roman" w:hAnsi="Times New Roman" w:cs="Times New Roman"/>
          <w:sz w:val="24"/>
          <w:szCs w:val="20"/>
          <w:lang w:eastAsia="pt-BR"/>
          <w14:ligatures w14:val="none"/>
        </w:rPr>
        <w:t xml:space="preserve">Casa de Detenção forma um conjunto arquitetural formado por sete pavilhões, sendo que cada pavilhão tem seus próprios personagens. O critério da distribuição obedece a regras da própria Casa. Todos entram num sistema de triagem e logo são direcionados aos pavilhões a que destina seu crime: estupro (que tem uma certa proteção, pois é marcado para a morte), latrocínio, assalto, etc. Alguns, como o caso dos universitários, ficam em celas individuais, mas são poucos. Outros, convivem com ratos e inundações, é o caso dos jurados de morte que vivem na “Masmorra”, o pior lugar da cadeia, se é que algum seja bom. E ainda há a “Isolada”, local de castigo para os reincidentes. </w:t>
      </w:r>
    </w:p>
    <w:p w14:paraId="4348799C"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Ainda há o pavilhão dos chamados “faxina”, os que trabalham na limpeza e na entrega das quentinhas, entre outros “funcionários”, que trabalham com couro, chinelos, cadernos e até na enfermaria. Outros, nada querem com o trabalho. O ócio é a melhor diversão para eles. Constatamos isso através do depoimento de um venezuelano: “Trabalhar para a sociedade, só depois de morto, se me cremarem e colocarem minhas cinzas num daqueles relógios de ampulheta”. (p.142)</w:t>
      </w:r>
    </w:p>
    <w:p w14:paraId="4E6E34E8"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Os “faxinas” são escolhidos pelos próprios presos. Tem que ter uma posição ilibada dentro do presídio e ser aceito por todos, ou quase todos. Acima deles está um corpo de administradores, os encarregados gerais do pavilhão, que diz o que deve ser feito, que dá o aval na hora do auxílio e da morte de outros presos. São os ouvidores e juizes que como dizem eles mesmos, assinam as penas de morte. A morte também chega através das drogas. Quando não as injetáveis que trazem o HIV, o crack, quando não enlouquece, mata.</w:t>
      </w:r>
    </w:p>
    <w:p w14:paraId="74F07CF3"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lastRenderedPageBreak/>
        <w:t>Há ainda os doentes mentais, os travestis, os justiceiros, entre tantas outras denominações específicas para os criminosos, ou como alguns se autodenominam, os “reeducandos”.</w:t>
      </w:r>
      <w:r w:rsidRPr="00E87C00">
        <w:rPr>
          <w:rFonts w:ascii="Times New Roman" w:eastAsia="Times New Roman" w:hAnsi="Times New Roman" w:cs="Times New Roman"/>
          <w:vanish/>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 xml:space="preserve"> </w:t>
      </w:r>
      <w:r w:rsidRPr="00E87C00">
        <w:rPr>
          <w:rFonts w:ascii="Times New Roman" w:eastAsia="Times New Roman" w:hAnsi="Times New Roman" w:cs="Times New Roman"/>
          <w:vanish/>
          <w:sz w:val="24"/>
          <w:szCs w:val="20"/>
          <w:lang w:eastAsia="pt-BR"/>
          <w14:ligatures w14:val="none"/>
        </w:rPr>
        <w:t>&lt;/span&gt;&lt;span lang="PT-BR" style="mso-bidi-font-size: 10.0pt"&gt;&lt;span style="mso-spacerun: yes"&gt;&lt;/span&gt;&lt;span lang="PT-BR" style="mso-bidi-font-size: 10.0pt"&gt;</w:t>
      </w:r>
      <w:r w:rsidRPr="00E87C00">
        <w:rPr>
          <w:rFonts w:ascii="Times New Roman" w:eastAsia="Times New Roman" w:hAnsi="Times New Roman" w:cs="Times New Roman"/>
          <w:sz w:val="24"/>
          <w:szCs w:val="20"/>
          <w:lang w:eastAsia="pt-BR"/>
          <w14:ligatures w14:val="none"/>
        </w:rPr>
        <w:t>Ainda existe a ala das religiões, um lugar que serve como reparo e fuga, onde a Assembléia de Deus é o grupo evangélico mais forte. Há, também os setores administrativos e de “lazer” (campos de futebol).</w:t>
      </w:r>
      <w:r w:rsidRPr="00E87C00">
        <w:rPr>
          <w:rFonts w:ascii="Times New Roman" w:eastAsia="Times New Roman" w:hAnsi="Times New Roman" w:cs="Times New Roman"/>
          <w:vanish/>
          <w:color w:val="FF0000"/>
          <w:sz w:val="24"/>
          <w:szCs w:val="20"/>
          <w:lang w:eastAsia="pt-BR"/>
          <w14:ligatures w14:val="none"/>
        </w:rPr>
        <w:t>&lt;span style="mso-spacerun: yes"&gt;</w:t>
      </w:r>
      <w:r w:rsidRPr="00E87C00">
        <w:rPr>
          <w:rFonts w:ascii="Times New Roman" w:eastAsia="Times New Roman" w:hAnsi="Times New Roman" w:cs="Times New Roman"/>
          <w:sz w:val="24"/>
          <w:szCs w:val="20"/>
          <w:lang w:eastAsia="pt-BR"/>
          <w14:ligatures w14:val="none"/>
        </w:rPr>
        <w:t xml:space="preserve">      </w:t>
      </w:r>
    </w:p>
    <w:p w14:paraId="48F659D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Todos os dias são parecidos, tirando um problema ou outro, que por vezes acaba em morte dos presidiários, a rotina não muda. Uma dessas rotinas “é de lei”, a contagem dos presos feita pelos carcereiros pela manhã e à noite. Os crentes oram até a hora de dormir, outros assistem TV, ouvem rádio, lêem, ou, nas celas mais abarrotadas, disputam espaço para ficar. Os presos andam “livremente” pelos pavilhões durante o dia e são recolhidos às cinco horas da tarde. Neste ínterim, há banho de sol, jogos de futebol, serviços e às sextas-feiras, limpeza geral para a visita das famílias no final de semana. </w:t>
      </w:r>
    </w:p>
    <w:p w14:paraId="2DE20FD6" w14:textId="77777777" w:rsidR="00E87C00" w:rsidRPr="00E87C00" w:rsidRDefault="00E87C00" w:rsidP="00E87C00">
      <w:pPr>
        <w:spacing w:after="0" w:line="360" w:lineRule="auto"/>
        <w:ind w:firstLine="709"/>
        <w:jc w:val="both"/>
        <w:rPr>
          <w:rFonts w:ascii="Times New Roman" w:eastAsia="Times New Roman" w:hAnsi="Times New Roman" w:cs="Times New Roman"/>
          <w:color w:val="FF0000"/>
          <w:sz w:val="24"/>
          <w:szCs w:val="20"/>
          <w:lang w:eastAsia="pt-BR"/>
          <w14:ligatures w14:val="none"/>
        </w:rPr>
      </w:pPr>
      <w:r w:rsidRPr="00E87C00">
        <w:rPr>
          <w:rFonts w:ascii="Times New Roman" w:eastAsia="Times New Roman" w:hAnsi="Times New Roman" w:cs="Times New Roman"/>
          <w:sz w:val="24"/>
          <w:szCs w:val="20"/>
          <w:lang w:eastAsia="pt-BR"/>
          <w14:ligatures w14:val="none"/>
        </w:rPr>
        <w:t>As visitas dos familiares é um evento à parte. Com preparativos, limpeza, pois as mães, mulheres e filhos não podem encontrá-los no ambiente que geralmente é dos dias de semana. Ainda que Varella descreva que as condições dos prédios são deterioradas, mas as celas estão sempre limpas, pois os próprios presos dividem-se na tarefa de limpá-las, para manter o mínimo de condição de habitabilidade. As famílias levam alguns agrados que às vezes servem como alento e outras como moeda para a compra de um pedaço de chão na cela, ou uma pedra de crack, ou para o pagamento de uma dívida qualquer. Todos são devidamente revistados, mas como um passe de mágicas às vezes aparecem drogas e facas, mais conhecidas como “bicudas”.</w:t>
      </w:r>
      <w:r w:rsidRPr="00E87C00">
        <w:rPr>
          <w:rFonts w:ascii="Times New Roman" w:eastAsia="Times New Roman" w:hAnsi="Times New Roman" w:cs="Times New Roman"/>
          <w:vanish/>
          <w:color w:val="FF0000"/>
          <w:sz w:val="24"/>
          <w:szCs w:val="20"/>
          <w:lang w:eastAsia="pt-BR"/>
          <w14:ligatures w14:val="none"/>
        </w:rPr>
        <w:t>&lt;span style="mso-spacerun: yes"&gt;</w:t>
      </w:r>
    </w:p>
    <w:p w14:paraId="54864016" w14:textId="77777777" w:rsidR="00E87C00" w:rsidRPr="00E87C00" w:rsidRDefault="00E87C00" w:rsidP="00E87C00">
      <w:pPr>
        <w:spacing w:after="0" w:line="360" w:lineRule="auto"/>
        <w:ind w:firstLine="709"/>
        <w:jc w:val="both"/>
        <w:rPr>
          <w:rFonts w:ascii="Times New Roman" w:eastAsia="Times New Roman" w:hAnsi="Times New Roman" w:cs="Times New Roman"/>
          <w:color w:val="FF0000"/>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Há mais ou menos 20 anos foi aberta a visita íntima, que é feita com cuidado por parte da administração da casa, que cadastra as mulheres e com uma organização entre os presos que habitam a mesma cela, que não se vê em muitos lugares, como conta Varella. Nenhum detento pode olhar para a mulher do outro. Há uma relação de respeito entre eles, mesmo que a mulher não seja sua esposa e, sim, uma prostituta. </w:t>
      </w:r>
      <w:r w:rsidRPr="00E87C00">
        <w:rPr>
          <w:rFonts w:ascii="Times New Roman" w:eastAsia="Times New Roman" w:hAnsi="Times New Roman" w:cs="Times New Roman"/>
          <w:vanish/>
          <w:color w:val="FF0000"/>
          <w:sz w:val="24"/>
          <w:szCs w:val="20"/>
          <w:lang w:eastAsia="pt-BR"/>
          <w14:ligatures w14:val="none"/>
        </w:rPr>
        <w:t>&lt;/span&gt;&lt;span lang="PT-BR" style="mso-bidi-font-size: 10.0pt"&gt;</w:t>
      </w:r>
    </w:p>
    <w:p w14:paraId="3D556070"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Entre  tantas histórias destes personagens apresentados, para finalizar sua obra o autor conta a trágica história do massacre do Carandiru em 1992. Por razões nunca esclarecidas, grupos rivais começaram uma briga dentro do pavilhão nove. Depois a polícia tomou a frente e matou o que os números oficiais relatam de 111 presos, mas que segundo os próprios detentos chegou a 200, 250 pessoas.</w:t>
      </w:r>
    </w:p>
    <w:p w14:paraId="0F61775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 xml:space="preserve">Assim, quando pensamos a história da Casa de Detenção do Carandiru, pensamos nos presos e também em seus funcionários, frequentadores, visitantes, que transitavam pelos seus corredores, escadarias e pavilhões. Embora cada um deles possuíssem um </w:t>
      </w:r>
      <w:r w:rsidRPr="00E87C00">
        <w:rPr>
          <w:rFonts w:ascii="Times New Roman" w:eastAsia="Times New Roman" w:hAnsi="Times New Roman" w:cs="Times New Roman"/>
          <w:sz w:val="24"/>
          <w:szCs w:val="20"/>
          <w:lang w:eastAsia="pt-BR"/>
          <w14:ligatures w14:val="none"/>
        </w:rPr>
        <w:lastRenderedPageBreak/>
        <w:t>estilo diferente de vida, e seus cotidianos os distanciasse, naquele momento suas vidas estavam aproximadas por algum motivo que as fizeram estar naquela cidadela na maioria das vezes iletrada (RAMA, 1985) que cria um elemento de identidade comum àquelas pessoas. Dos passantes que circulam pelas ruas próximas da penitenciária, talvez alguns jamais frequentem aquele espaço que constitui um vínculo identitário entre os que lá frequentam.</w:t>
      </w:r>
    </w:p>
    <w:p w14:paraId="292CF9FC"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Drauzio Varella entre tantas outras pessoas que de alguma forma estiveram no Carandiru refere-se as suas experiências pessoais e momentos que muitas vezes não viveu diretamente, mas que de longe/perto observou e narrou, relacionados com a vida do presídio. O olhar que Varella  projetou sobre esse conjunto monumental, permite, como num jogo de espelhos, captar fragmentos expressivos dos múltiplos sentidos atribuídos a cada um dos pavilhões e ao conjunto por eles formado, assim como permite identificar a particular configuração que assumem para a cidade.</w:t>
      </w:r>
    </w:p>
    <w:p w14:paraId="3D7F1229"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i/>
          <w:sz w:val="24"/>
          <w:szCs w:val="20"/>
          <w:lang w:eastAsia="pt-BR"/>
          <w14:ligatures w14:val="none"/>
        </w:rPr>
        <w:tab/>
      </w:r>
      <w:r w:rsidRPr="00E87C00">
        <w:rPr>
          <w:rFonts w:ascii="Times New Roman" w:eastAsia="Times New Roman" w:hAnsi="Times New Roman" w:cs="Times New Roman"/>
          <w:sz w:val="24"/>
          <w:szCs w:val="20"/>
          <w:lang w:eastAsia="pt-BR"/>
          <w14:ligatures w14:val="none"/>
        </w:rPr>
        <w:t>Se cada pavilhão possui suas enormes escadarias e corredores para acessar aos andares mais altos, havia ainda outra condição de acesso a estes prédios: a vida do crime, seja ele de que forma cometido. Enquanto os transeuntes comuns da cidade passam pela rua com o tempo contado para trabalhar num ir e vir desalinhado, costurando as ruas com seus largos e apressados passos, outros habitam aquelas fortalezas, cidadelas de um pesadelo do lado de dentro e de um sonho de estar lá fora. Sonho este, nem sempre com o intuito de começar uma vida nova, mas de recomeçar a vida do crime.</w:t>
      </w:r>
    </w:p>
    <w:p w14:paraId="4EE89206"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0"/>
          <w:lang w:eastAsia="pt-BR"/>
          <w14:ligatures w14:val="none"/>
        </w:rPr>
      </w:pPr>
      <w:r w:rsidRPr="00E87C00">
        <w:rPr>
          <w:rFonts w:ascii="Times New Roman" w:eastAsia="Times New Roman" w:hAnsi="Times New Roman" w:cs="Times New Roman"/>
          <w:sz w:val="24"/>
          <w:szCs w:val="20"/>
          <w:lang w:eastAsia="pt-BR"/>
          <w14:ligatures w14:val="none"/>
        </w:rPr>
        <w:t>A história contada por Drauzio Varella é uma história de anônimos. Homens apelidados: Sem-Chance, Santão, Salário Mínimo, Ôrra Meu, que podem ter vários nomes diferentes, mas que dividem entre eles uma sina proporcionada por uma sociedade que os traiu duas vezes. A primeira por patrocinarem sua entrada na prisão. Pessoas sem direito à educação, saúde, modos dignos de vida. A segunda, relacionada ao abandono, ao desprezo e ao medo de pessoas que não têm mais identidade individual. São os criminosos, que devem pagar pelo que cometeram, mas que não têm chance de uma regeneração dentro de um local como a prisão do Carandiru. É literalmente sem chance.</w:t>
      </w:r>
    </w:p>
    <w:p w14:paraId="4B36D5EF"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No próprio presídio também se expressavam a lógica da exclusão social, da hierarquização rígida e as práticas de uma diferenciação social que permeavam a sociedade em geral e a Casa de Detenção em particular. Os pavilhões são considerados locais onde a ordem deve ser marca de distinção entre os que querem sobreviver e os que querem morrer. Esta ordem é colocada de duas formas: a que deve ser cumprida para a polícia e a ordem entre os próprios presos. Os pavilhões como um todo, no seu papel </w:t>
      </w:r>
      <w:r w:rsidRPr="00E87C00">
        <w:rPr>
          <w:rFonts w:ascii="Times New Roman" w:eastAsia="Times New Roman" w:hAnsi="Times New Roman" w:cs="Times New Roman"/>
          <w:sz w:val="24"/>
          <w:szCs w:val="24"/>
          <w:lang w:eastAsia="pt-BR"/>
          <w14:ligatures w14:val="none"/>
        </w:rPr>
        <w:lastRenderedPageBreak/>
        <w:t xml:space="preserve">social e em suas especificidades são cidades amuralhadas. Por trás dessas paredes, no seu interior, constitui-se uma cidade outra, também fechada, que se baseia na ordem prioritária dos signos, formada por grupos que tiveram basicamente a mesma educação na infância, moraram em locais parecidos e acabaram tendo o mesmo destino. Estes grupos servem ao poder e é seu detentor no espaço do ambiente carcerário. </w:t>
      </w:r>
    </w:p>
    <w:p w14:paraId="11B9FEEE"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Varella porém, diz não ser sua intenção condenar o sistema penal ou apontar soluções para ele. Sua proposta somente foi apontar a vida destes personagens muito conhecidos, mas tão pouco observados pela sociedade.</w:t>
      </w:r>
    </w:p>
    <w:p w14:paraId="2775A06B" w14:textId="77777777" w:rsidR="00E87C00" w:rsidRPr="00E87C00" w:rsidRDefault="00E87C00" w:rsidP="00E87C00">
      <w:pPr>
        <w:spacing w:after="0" w:line="360" w:lineRule="auto"/>
        <w:ind w:firstLine="709"/>
        <w:jc w:val="both"/>
        <w:rPr>
          <w:rFonts w:ascii="Times New Roman" w:eastAsia="Times New Roman" w:hAnsi="Times New Roman" w:cs="Times New Roman"/>
          <w:sz w:val="24"/>
          <w:szCs w:val="24"/>
          <w:lang w:eastAsia="pt-BR"/>
          <w14:ligatures w14:val="none"/>
        </w:rPr>
      </w:pPr>
    </w:p>
    <w:p w14:paraId="6697E5F0" w14:textId="77777777" w:rsidR="00E87C00" w:rsidRPr="00E87C00" w:rsidRDefault="00E87C00" w:rsidP="00E87C00">
      <w:pPr>
        <w:spacing w:after="0" w:line="360" w:lineRule="auto"/>
        <w:rPr>
          <w:rFonts w:ascii="Times New Roman" w:eastAsia="Times New Roman" w:hAnsi="Times New Roman" w:cs="Times New Roman"/>
          <w:b/>
          <w:bCs/>
          <w:sz w:val="24"/>
          <w:szCs w:val="24"/>
          <w:lang w:eastAsia="pt-BR"/>
          <w14:ligatures w14:val="none"/>
        </w:rPr>
      </w:pPr>
      <w:r w:rsidRPr="00E87C00">
        <w:rPr>
          <w:rFonts w:ascii="Times New Roman" w:eastAsia="Times New Roman" w:hAnsi="Times New Roman" w:cs="Times New Roman"/>
          <w:b/>
          <w:bCs/>
          <w:sz w:val="24"/>
          <w:szCs w:val="24"/>
          <w:lang w:eastAsia="pt-BR"/>
          <w14:ligatures w14:val="none"/>
        </w:rPr>
        <w:t>CONSIDERAÇÕES FINAIS</w:t>
      </w:r>
    </w:p>
    <w:p w14:paraId="6C5D0373" w14:textId="77777777" w:rsidR="00E87C00" w:rsidRPr="00E87C00" w:rsidRDefault="00E87C00" w:rsidP="00E87C00">
      <w:pPr>
        <w:spacing w:after="0" w:line="360" w:lineRule="auto"/>
        <w:jc w:val="both"/>
        <w:rPr>
          <w:rFonts w:ascii="Times New Roman" w:eastAsia="Times New Roman" w:hAnsi="Times New Roman" w:cs="Times New Roman"/>
          <w:b/>
          <w:bCs/>
          <w:sz w:val="24"/>
          <w:szCs w:val="24"/>
          <w:lang w:eastAsia="pt-BR"/>
          <w14:ligatures w14:val="none"/>
        </w:rPr>
      </w:pPr>
    </w:p>
    <w:p w14:paraId="475A35C2" w14:textId="77777777" w:rsidR="00E87C00" w:rsidRPr="00E87C00" w:rsidRDefault="00E87C00" w:rsidP="00E87C00">
      <w:pPr>
        <w:pBdr>
          <w:top w:val="nil"/>
          <w:left w:val="nil"/>
          <w:bottom w:val="nil"/>
          <w:right w:val="nil"/>
          <w:between w:val="nil"/>
        </w:pBdr>
        <w:spacing w:after="0" w:line="360" w:lineRule="auto"/>
        <w:ind w:firstLine="709"/>
        <w:jc w:val="both"/>
        <w:rPr>
          <w:rFonts w:ascii="Times New Roman" w:eastAsia="Google Sans Text" w:hAnsi="Times New Roman" w:cs="Times New Roman"/>
          <w:color w:val="1B1C1D"/>
          <w:sz w:val="24"/>
          <w:szCs w:val="24"/>
          <w:lang w:eastAsia="pt-BR"/>
          <w14:ligatures w14:val="none"/>
        </w:rPr>
      </w:pPr>
      <w:r w:rsidRPr="00E87C00">
        <w:rPr>
          <w:rFonts w:ascii="Times New Roman" w:eastAsia="Google Sans Text" w:hAnsi="Times New Roman" w:cs="Times New Roman"/>
          <w:color w:val="1B1C1D"/>
          <w:sz w:val="24"/>
          <w:szCs w:val="24"/>
          <w:lang w:eastAsia="pt-BR"/>
          <w14:ligatures w14:val="none"/>
        </w:rPr>
        <w:t>Em termos de implicações teóricas, a convergência dessas obras redefine o racismo no Brasil, concebendo-o não apenas como um conjunto de crenças ideológicas  mas como um mecanismo de restrição</w:t>
      </w:r>
      <w:r w:rsidRPr="00E87C00">
        <w:rPr>
          <w:rFonts w:ascii="Times New Roman" w:eastAsia="Google Sans Text" w:hAnsi="Times New Roman" w:cs="Times New Roman"/>
          <w:b/>
          <w:bCs/>
          <w:color w:val="1B1C1D"/>
          <w:sz w:val="24"/>
          <w:szCs w:val="24"/>
          <w:lang w:eastAsia="pt-BR"/>
          <w14:ligatures w14:val="none"/>
        </w:rPr>
        <w:t xml:space="preserve"> </w:t>
      </w:r>
      <w:r w:rsidRPr="00E87C00">
        <w:rPr>
          <w:rFonts w:ascii="Times New Roman" w:eastAsia="Google Sans Text" w:hAnsi="Times New Roman" w:cs="Times New Roman"/>
          <w:color w:val="1B1C1D"/>
          <w:sz w:val="24"/>
          <w:szCs w:val="24"/>
          <w:lang w:eastAsia="pt-BR"/>
          <w14:ligatures w14:val="none"/>
        </w:rPr>
        <w:t>de capacidade, onde a desigualdade histórica e a estigma racial se reforçam mutuamente, limitando a capacidade dos indivíduos marginalizados de ascender ou, até mesmo, de garantir modos dignos de vida. A análise revela que a anomia social brasileira não é a ausência de leis, mas a convivência de leis formais ineficazes com códigos de comportamento violentos e pessoais que são altamente eficazes, tanto nas relações de vizinhança  quanto na "ética e moral específicas" do cárcere. A história contada por Drauzio Varella é, fundamentalmente, a história de "anônimos"— homens apelidados sem chance, cuja identidade individual foi obliterada. Essa anulação é a consequência final da "segunda traição" (abandono e desprezo) que sucede a "primeira traição" (a falha do Estado em fornecer educação e saúde). O Carandiru se estabelece, assim, como a câmara de compensação do fracasso social, onde a modernidade brasileira, em vez de substituir o arcaico, o cristalizou em formas renovadas de violência institucionalizada. O desafio para a pesquisa futura reside em seguir o rigor metodológico de Nogueira, articulando o estudo histórico e etnográfico com dados estatísticos para quantificar como o preconceito de marca opera nos contextos contemporâneos. Mais urgentemente, o sistema social deve ser investigado sob a ótica da regeneração, pois a falta de "chance de uma regeneração dentro de um local como a prisão do Carandiru" exige que os estudos pressionem pela reestruturação das bases sociais que geram essa sina, desmantelando a persistente lógica da dominação pessoal e exigindo que o Estado assuma, finalmente, seu papel impessoal de protetor de direitos.</w:t>
      </w:r>
    </w:p>
    <w:p w14:paraId="6ACD2B5D" w14:textId="77777777" w:rsidR="00E87C00" w:rsidRPr="00E87C00" w:rsidRDefault="00E87C00" w:rsidP="00E87C00">
      <w:pPr>
        <w:spacing w:after="0" w:line="360" w:lineRule="auto"/>
        <w:ind w:left="-567" w:right="-567" w:firstLine="567"/>
        <w:jc w:val="both"/>
        <w:rPr>
          <w:rFonts w:ascii="Times New Roman" w:eastAsia="Times New Roman" w:hAnsi="Times New Roman" w:cs="Times New Roman"/>
          <w:b/>
          <w:bCs/>
          <w:sz w:val="24"/>
          <w:szCs w:val="20"/>
          <w:lang w:eastAsia="pt-BR"/>
          <w14:ligatures w14:val="none"/>
        </w:rPr>
      </w:pPr>
    </w:p>
    <w:p w14:paraId="5C059175" w14:textId="77777777" w:rsidR="00E87C00" w:rsidRPr="00E87C00" w:rsidRDefault="00E87C00" w:rsidP="00E87C00">
      <w:pPr>
        <w:spacing w:after="0" w:line="360" w:lineRule="auto"/>
        <w:ind w:left="-567" w:right="-567" w:firstLine="567"/>
        <w:rPr>
          <w:rFonts w:ascii="Times New Roman" w:eastAsia="Times New Roman" w:hAnsi="Times New Roman" w:cs="Times New Roman"/>
          <w:b/>
          <w:bCs/>
          <w:sz w:val="24"/>
          <w:szCs w:val="20"/>
          <w:lang w:eastAsia="pt-BR"/>
          <w14:ligatures w14:val="none"/>
        </w:rPr>
      </w:pPr>
      <w:r w:rsidRPr="00E87C00">
        <w:rPr>
          <w:rFonts w:ascii="Times New Roman" w:eastAsia="Times New Roman" w:hAnsi="Times New Roman" w:cs="Times New Roman"/>
          <w:b/>
          <w:bCs/>
          <w:sz w:val="24"/>
          <w:szCs w:val="20"/>
          <w:lang w:eastAsia="pt-BR"/>
          <w14:ligatures w14:val="none"/>
        </w:rPr>
        <w:lastRenderedPageBreak/>
        <w:t>REFERÊNCIAS</w:t>
      </w:r>
    </w:p>
    <w:p w14:paraId="5CAA2D50" w14:textId="77777777" w:rsidR="00E87C00" w:rsidRPr="00E87C00" w:rsidRDefault="00E87C00" w:rsidP="00E87C00">
      <w:pPr>
        <w:spacing w:after="0" w:line="360" w:lineRule="auto"/>
        <w:ind w:left="-567" w:right="-567" w:firstLine="567"/>
        <w:jc w:val="both"/>
        <w:rPr>
          <w:rFonts w:ascii="Times New Roman" w:eastAsia="Times New Roman" w:hAnsi="Times New Roman" w:cs="Times New Roman"/>
          <w:sz w:val="24"/>
          <w:szCs w:val="20"/>
          <w:lang w:eastAsia="pt-BR"/>
          <w14:ligatures w14:val="none"/>
        </w:rPr>
      </w:pPr>
    </w:p>
    <w:p w14:paraId="079940EA" w14:textId="77777777" w:rsidR="00E87C00" w:rsidRPr="00E87C00" w:rsidRDefault="00E87C00" w:rsidP="00E87C00">
      <w:pPr>
        <w:spacing w:after="0" w:line="240" w:lineRule="auto"/>
        <w:ind w:left="-567" w:right="-567" w:firstLine="567"/>
        <w:rPr>
          <w:rFonts w:ascii="Times New Roman" w:eastAsia="Times New Roman" w:hAnsi="Times New Roman" w:cs="Times New Roman"/>
          <w:color w:val="0A0A0A"/>
          <w:sz w:val="24"/>
          <w:szCs w:val="24"/>
          <w:shd w:val="clear" w:color="auto" w:fill="FFFFFF"/>
          <w:lang w:eastAsia="pt-BR"/>
          <w14:ligatures w14:val="none"/>
        </w:rPr>
      </w:pPr>
      <w:r w:rsidRPr="00E87C00">
        <w:rPr>
          <w:rFonts w:ascii="Times New Roman" w:eastAsia="Times New Roman" w:hAnsi="Times New Roman" w:cs="Times New Roman"/>
          <w:color w:val="0A0A0A"/>
          <w:sz w:val="24"/>
          <w:szCs w:val="24"/>
          <w:shd w:val="clear" w:color="auto" w:fill="FFFFFF"/>
          <w:lang w:eastAsia="pt-BR"/>
          <w14:ligatures w14:val="none"/>
        </w:rPr>
        <w:t>FAORO, Raymundo. </w:t>
      </w:r>
      <w:r w:rsidRPr="00E87C00">
        <w:rPr>
          <w:rFonts w:ascii="Times New Roman" w:eastAsia="Times New Roman" w:hAnsi="Times New Roman" w:cs="Times New Roman"/>
          <w:b/>
          <w:bCs/>
          <w:color w:val="0A0A0A"/>
          <w:sz w:val="24"/>
          <w:szCs w:val="24"/>
          <w:shd w:val="clear" w:color="auto" w:fill="FFFFFF"/>
          <w:lang w:eastAsia="pt-BR"/>
          <w14:ligatures w14:val="none"/>
        </w:rPr>
        <w:t>Os Donos do Poder</w:t>
      </w:r>
      <w:r w:rsidRPr="00E87C00">
        <w:rPr>
          <w:rFonts w:ascii="Times New Roman" w:eastAsia="Times New Roman" w:hAnsi="Times New Roman" w:cs="Times New Roman"/>
          <w:color w:val="0A0A0A"/>
          <w:sz w:val="24"/>
          <w:szCs w:val="24"/>
          <w:shd w:val="clear" w:color="auto" w:fill="FFFFFF"/>
          <w:lang w:eastAsia="pt-BR"/>
          <w14:ligatures w14:val="none"/>
        </w:rPr>
        <w:t>. São Paulo: Globo, 2000.</w:t>
      </w:r>
    </w:p>
    <w:p w14:paraId="1D5C053C" w14:textId="77777777" w:rsidR="00E87C00" w:rsidRPr="00E87C00" w:rsidRDefault="00E87C00" w:rsidP="00E87C00">
      <w:pPr>
        <w:spacing w:after="0" w:line="240" w:lineRule="auto"/>
        <w:ind w:left="-567" w:right="-567" w:firstLine="567"/>
        <w:rPr>
          <w:rFonts w:ascii="Times New Roman" w:eastAsia="Times New Roman" w:hAnsi="Times New Roman" w:cs="Times New Roman"/>
          <w:sz w:val="24"/>
          <w:szCs w:val="24"/>
          <w:lang w:eastAsia="pt-BR"/>
          <w14:ligatures w14:val="none"/>
        </w:rPr>
      </w:pPr>
    </w:p>
    <w:p w14:paraId="6E41996C"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FRANCO, Maria Sylvia de Carvalho. </w:t>
      </w:r>
      <w:r w:rsidRPr="00E87C00">
        <w:rPr>
          <w:rFonts w:ascii="Times New Roman" w:eastAsia="Times New Roman" w:hAnsi="Times New Roman" w:cs="Times New Roman"/>
          <w:b/>
          <w:bCs/>
          <w:sz w:val="24"/>
          <w:szCs w:val="24"/>
          <w:lang w:eastAsia="pt-BR"/>
          <w14:ligatures w14:val="none"/>
        </w:rPr>
        <w:t>Homens livres na ordem escravocrata</w:t>
      </w:r>
      <w:r w:rsidRPr="00E87C00">
        <w:rPr>
          <w:rFonts w:ascii="Times New Roman" w:eastAsia="Times New Roman" w:hAnsi="Times New Roman" w:cs="Times New Roman"/>
          <w:sz w:val="24"/>
          <w:szCs w:val="24"/>
          <w:lang w:eastAsia="pt-BR"/>
          <w14:ligatures w14:val="none"/>
        </w:rPr>
        <w:t>. São Paulo: Unesp, 1997.</w:t>
      </w:r>
    </w:p>
    <w:p w14:paraId="65A7C123"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p>
    <w:p w14:paraId="6FA9541F"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MAIO, Marcos Chor; VILLAS BOAS,  Glaucia. </w:t>
      </w:r>
      <w:r w:rsidRPr="00E87C00">
        <w:rPr>
          <w:rFonts w:ascii="Times New Roman" w:eastAsia="Times New Roman" w:hAnsi="Times New Roman" w:cs="Times New Roman"/>
          <w:b/>
          <w:bCs/>
          <w:sz w:val="24"/>
          <w:szCs w:val="24"/>
          <w:lang w:eastAsia="pt-BR"/>
          <w14:ligatures w14:val="none"/>
        </w:rPr>
        <w:t xml:space="preserve">Ideais de Modernidade e Sociologia no Brasil. Ensaios de Luiz de Aguiar de Costa Pinto. </w:t>
      </w:r>
      <w:r w:rsidRPr="00E87C00">
        <w:rPr>
          <w:rFonts w:ascii="Times New Roman" w:eastAsia="Times New Roman" w:hAnsi="Times New Roman" w:cs="Times New Roman"/>
          <w:sz w:val="24"/>
          <w:szCs w:val="24"/>
          <w:lang w:eastAsia="pt-BR"/>
          <w14:ligatures w14:val="none"/>
        </w:rPr>
        <w:t>Rio Grande do Sul: Editora da Universidade, 1999.</w:t>
      </w:r>
    </w:p>
    <w:p w14:paraId="4E0D257E"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p>
    <w:p w14:paraId="696432E7"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NOGUEIRA, Oracy. </w:t>
      </w:r>
      <w:r w:rsidRPr="00E87C00">
        <w:rPr>
          <w:rFonts w:ascii="Times New Roman" w:eastAsia="Times New Roman" w:hAnsi="Times New Roman" w:cs="Times New Roman"/>
          <w:b/>
          <w:bCs/>
          <w:sz w:val="24"/>
          <w:szCs w:val="24"/>
          <w:lang w:eastAsia="pt-BR"/>
          <w14:ligatures w14:val="none"/>
        </w:rPr>
        <w:t>Relações raciais entre negros e brancos em São Paulo: relações raciais no município de Itapetininga</w:t>
      </w:r>
      <w:r w:rsidRPr="00E87C00">
        <w:rPr>
          <w:rFonts w:ascii="Times New Roman" w:eastAsia="Times New Roman" w:hAnsi="Times New Roman" w:cs="Times New Roman"/>
          <w:sz w:val="24"/>
          <w:szCs w:val="24"/>
          <w:lang w:eastAsia="pt-BR"/>
          <w14:ligatures w14:val="none"/>
        </w:rPr>
        <w:t>. Anhembi, XIV (41), abr., 1954.</w:t>
      </w:r>
    </w:p>
    <w:p w14:paraId="4401C9D8"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p>
    <w:p w14:paraId="13A93BF6"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r w:rsidRPr="00E87C00">
        <w:rPr>
          <w:rFonts w:ascii="Times New Roman" w:eastAsia="Times New Roman" w:hAnsi="Times New Roman" w:cs="Times New Roman"/>
          <w:sz w:val="24"/>
          <w:szCs w:val="24"/>
          <w:lang w:eastAsia="pt-BR"/>
          <w14:ligatures w14:val="none"/>
        </w:rPr>
        <w:t xml:space="preserve">RAMA , Angel. </w:t>
      </w:r>
      <w:r w:rsidRPr="00E87C00">
        <w:rPr>
          <w:rFonts w:ascii="Times New Roman" w:eastAsia="Times New Roman" w:hAnsi="Times New Roman" w:cs="Times New Roman"/>
          <w:b/>
          <w:bCs/>
          <w:sz w:val="24"/>
          <w:szCs w:val="24"/>
          <w:lang w:eastAsia="pt-BR"/>
          <w14:ligatures w14:val="none"/>
        </w:rPr>
        <w:t>A Cidade das Letras</w:t>
      </w:r>
      <w:r w:rsidRPr="00E87C00">
        <w:rPr>
          <w:rFonts w:ascii="Times New Roman" w:eastAsia="Times New Roman" w:hAnsi="Times New Roman" w:cs="Times New Roman"/>
          <w:sz w:val="24"/>
          <w:szCs w:val="24"/>
          <w:u w:val="single"/>
          <w:lang w:eastAsia="pt-BR"/>
          <w14:ligatures w14:val="none"/>
        </w:rPr>
        <w:t>.</w:t>
      </w:r>
      <w:r w:rsidRPr="00E87C00">
        <w:rPr>
          <w:rFonts w:ascii="Times New Roman" w:eastAsia="Times New Roman" w:hAnsi="Times New Roman" w:cs="Times New Roman"/>
          <w:sz w:val="24"/>
          <w:szCs w:val="24"/>
          <w:lang w:eastAsia="pt-BR"/>
          <w14:ligatures w14:val="none"/>
        </w:rPr>
        <w:t xml:space="preserve"> São Paulo: Brasiliense, 1985</w:t>
      </w:r>
    </w:p>
    <w:p w14:paraId="5E6E13B3" w14:textId="77777777" w:rsidR="00E87C00" w:rsidRPr="00E87C00" w:rsidRDefault="00E87C00" w:rsidP="00E87C00">
      <w:pPr>
        <w:spacing w:after="0" w:line="240" w:lineRule="auto"/>
        <w:rPr>
          <w:rFonts w:ascii="Times New Roman" w:eastAsia="Times New Roman" w:hAnsi="Times New Roman" w:cs="Times New Roman"/>
          <w:sz w:val="24"/>
          <w:szCs w:val="24"/>
          <w:lang w:eastAsia="pt-BR"/>
          <w14:ligatures w14:val="none"/>
        </w:rPr>
      </w:pPr>
    </w:p>
    <w:p w14:paraId="3FF690DF" w14:textId="77777777" w:rsidR="00E87C00" w:rsidRPr="00E87C00" w:rsidRDefault="00E87C00" w:rsidP="00E87C00">
      <w:pPr>
        <w:spacing w:after="0" w:line="240" w:lineRule="auto"/>
        <w:rPr>
          <w:rFonts w:ascii="Times New Roman" w:eastAsia="Times New Roman" w:hAnsi="Times New Roman" w:cs="Times New Roman"/>
          <w:color w:val="0A0A0A"/>
          <w:sz w:val="24"/>
          <w:szCs w:val="24"/>
          <w:shd w:val="clear" w:color="auto" w:fill="FFFFFF"/>
          <w:lang w:eastAsia="pt-BR"/>
          <w14:ligatures w14:val="none"/>
        </w:rPr>
      </w:pPr>
      <w:r w:rsidRPr="00E87C00">
        <w:rPr>
          <w:rFonts w:ascii="Times New Roman" w:eastAsia="Times New Roman" w:hAnsi="Times New Roman" w:cs="Times New Roman"/>
          <w:sz w:val="24"/>
          <w:szCs w:val="24"/>
          <w:lang w:eastAsia="pt-BR"/>
          <w14:ligatures w14:val="none"/>
        </w:rPr>
        <w:t>VARELLA, Drauzio. </w:t>
      </w:r>
      <w:r w:rsidRPr="00E87C00">
        <w:rPr>
          <w:rFonts w:ascii="Times New Roman" w:eastAsia="Times New Roman" w:hAnsi="Times New Roman" w:cs="Times New Roman"/>
          <w:b/>
          <w:bCs/>
          <w:sz w:val="24"/>
          <w:szCs w:val="24"/>
          <w:lang w:eastAsia="pt-BR"/>
          <w14:ligatures w14:val="none"/>
        </w:rPr>
        <w:t>Estação Carandiru</w:t>
      </w:r>
      <w:r w:rsidRPr="00E87C00">
        <w:rPr>
          <w:rFonts w:ascii="Times New Roman" w:eastAsia="Times New Roman" w:hAnsi="Times New Roman" w:cs="Times New Roman"/>
          <w:sz w:val="24"/>
          <w:szCs w:val="24"/>
          <w:lang w:eastAsia="pt-BR"/>
          <w14:ligatures w14:val="none"/>
        </w:rPr>
        <w:t>. São Paulo: Companhia das Letras, 1999</w:t>
      </w:r>
      <w:r w:rsidRPr="00E87C00">
        <w:rPr>
          <w:rFonts w:ascii="Times New Roman" w:eastAsia="Times New Roman" w:hAnsi="Times New Roman" w:cs="Times New Roman"/>
          <w:color w:val="0A0A0A"/>
          <w:sz w:val="24"/>
          <w:szCs w:val="24"/>
          <w:shd w:val="clear" w:color="auto" w:fill="FFFFFF"/>
          <w:lang w:eastAsia="pt-BR"/>
          <w14:ligatures w14:val="none"/>
        </w:rPr>
        <w:t>.</w:t>
      </w:r>
    </w:p>
    <w:sectPr w:rsidR="00E87C00" w:rsidRPr="00E87C00">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089C" w14:textId="77777777" w:rsidR="00404EAB" w:rsidRDefault="00404EAB" w:rsidP="009C68CC">
      <w:pPr>
        <w:spacing w:after="0" w:line="240" w:lineRule="auto"/>
      </w:pPr>
      <w:r>
        <w:separator/>
      </w:r>
    </w:p>
  </w:endnote>
  <w:endnote w:type="continuationSeparator" w:id="0">
    <w:p w14:paraId="7C6DC5D9" w14:textId="77777777" w:rsidR="00404EAB" w:rsidRDefault="00404EAB"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114F" w14:textId="77777777" w:rsidR="00404EAB" w:rsidRDefault="00404EAB" w:rsidP="009C68CC">
      <w:pPr>
        <w:spacing w:after="0" w:line="240" w:lineRule="auto"/>
      </w:pPr>
      <w:r>
        <w:separator/>
      </w:r>
    </w:p>
  </w:footnote>
  <w:footnote w:type="continuationSeparator" w:id="0">
    <w:p w14:paraId="52F6ED12" w14:textId="77777777" w:rsidR="00404EAB" w:rsidRDefault="00404EAB" w:rsidP="009C68CC">
      <w:pPr>
        <w:spacing w:after="0" w:line="240" w:lineRule="auto"/>
      </w:pPr>
      <w:r>
        <w:continuationSeparator/>
      </w:r>
    </w:p>
  </w:footnote>
  <w:footnote w:id="1">
    <w:p w14:paraId="7120827E" w14:textId="77777777" w:rsidR="00E87C00" w:rsidRDefault="00E87C00" w:rsidP="00E87C00">
      <w:pPr>
        <w:pStyle w:val="Textodenotaderodap"/>
        <w:jc w:val="both"/>
        <w:rPr>
          <w:sz w:val="18"/>
        </w:rPr>
      </w:pPr>
      <w:r>
        <w:rPr>
          <w:rStyle w:val="Refdenotaderodap"/>
        </w:rPr>
        <w:footnoteRef/>
      </w:r>
      <w:r>
        <w:t xml:space="preserve"> </w:t>
      </w:r>
      <w:r>
        <w:rPr>
          <w:sz w:val="18"/>
        </w:rPr>
        <w:t>Como exemplo ela traz a falta de consciência desses homens no processo de independência. De acordo com ela, o Estado e o Governo confundiam-se com pessoas. Ou seja, não haveria mudanças na forma de governo, só haveria troca de pessoas.</w:t>
      </w:r>
    </w:p>
  </w:footnote>
  <w:footnote w:id="2">
    <w:p w14:paraId="073B008E" w14:textId="77777777" w:rsidR="00E87C00" w:rsidRDefault="00E87C00" w:rsidP="00E87C00">
      <w:pPr>
        <w:pStyle w:val="Textodenotaderodap"/>
        <w:jc w:val="both"/>
      </w:pPr>
      <w:r>
        <w:rPr>
          <w:rStyle w:val="Refdenotaderodap"/>
        </w:rPr>
        <w:footnoteRef/>
      </w:r>
      <w:r>
        <w:t xml:space="preserve"> Conjunto presidiário formado por sete pavilhões, com cinco andares cada. </w:t>
      </w:r>
    </w:p>
  </w:footnote>
  <w:footnote w:id="3">
    <w:p w14:paraId="7D9106E6" w14:textId="77777777" w:rsidR="00E87C00" w:rsidRDefault="00E87C00" w:rsidP="00E87C00">
      <w:pPr>
        <w:pStyle w:val="Textodenotaderodap"/>
        <w:jc w:val="both"/>
      </w:pPr>
      <w:r>
        <w:rPr>
          <w:rStyle w:val="Refdenotaderodap"/>
        </w:rPr>
        <w:footnoteRef/>
      </w:r>
      <w:r>
        <w:t xml:space="preserve"> É vista a incapacidade de ação dos funcionários contratados do presídio. Sua presença muitas vezes não passa de mera fachada, segundo os relatos de Varella.</w:t>
      </w:r>
    </w:p>
  </w:footnote>
  <w:footnote w:id="4">
    <w:p w14:paraId="3FC2920D" w14:textId="77777777" w:rsidR="00E87C00" w:rsidRDefault="00E87C00" w:rsidP="00E87C00">
      <w:pPr>
        <w:pStyle w:val="Textodenotaderodap"/>
        <w:jc w:val="both"/>
      </w:pPr>
      <w:r>
        <w:rPr>
          <w:rStyle w:val="Refdenotaderodap"/>
        </w:rPr>
        <w:footnoteRef/>
      </w:r>
      <w:r>
        <w:t xml:space="preserve"> Neste concurso a premiação foi dada em cigarro, o que Varella chama de moeda local do presídio.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2538D"/>
    <w:rsid w:val="00054B16"/>
    <w:rsid w:val="000D1C5E"/>
    <w:rsid w:val="0017201D"/>
    <w:rsid w:val="001755C0"/>
    <w:rsid w:val="001A58D6"/>
    <w:rsid w:val="001C6B1A"/>
    <w:rsid w:val="00404EAB"/>
    <w:rsid w:val="006E3FC5"/>
    <w:rsid w:val="00796016"/>
    <w:rsid w:val="00826181"/>
    <w:rsid w:val="00853B4A"/>
    <w:rsid w:val="009C68CC"/>
    <w:rsid w:val="00AE63BE"/>
    <w:rsid w:val="00B23140"/>
    <w:rsid w:val="00BB73A2"/>
    <w:rsid w:val="00BE168D"/>
    <w:rsid w:val="00CB5FF7"/>
    <w:rsid w:val="00E87C00"/>
    <w:rsid w:val="00EF006F"/>
    <w:rsid w:val="00F35A5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semiHidden/>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1A58D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8D6"/>
    <w:rPr>
      <w:rFonts w:ascii="Consolas" w:eastAsia="Calibri" w:hAnsi="Consola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8958</Words>
  <Characters>48375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5</cp:revision>
  <cp:lastPrinted>2025-12-22T20:48:00Z</cp:lastPrinted>
  <dcterms:created xsi:type="dcterms:W3CDTF">2025-12-23T20:20:00Z</dcterms:created>
  <dcterms:modified xsi:type="dcterms:W3CDTF">2025-12-23T20:35:00Z</dcterms:modified>
</cp:coreProperties>
</file>